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C4" w:rsidRDefault="00C92EC4" w:rsidP="00C92EC4">
      <w:pPr>
        <w:spacing w:line="239" w:lineRule="auto"/>
        <w:ind w:left="1440" w:right="100" w:firstLine="72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sz w:val="24"/>
        </w:rPr>
        <w:t xml:space="preserve">PRESIDENT I REPUBLIKËS SË SHQIPËRISË </w:t>
      </w:r>
      <w:r>
        <w:rPr>
          <w:rFonts w:ascii="Garamond" w:eastAsia="Garamond" w:hAnsi="Garamond"/>
          <w:b/>
          <w:sz w:val="24"/>
        </w:rPr>
        <w:t>ILIR META</w:t>
      </w:r>
    </w:p>
    <w:p w:rsidR="00C92EC4" w:rsidRDefault="00C92EC4" w:rsidP="00C92EC4">
      <w:pPr>
        <w:spacing w:line="273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right="100"/>
        <w:jc w:val="center"/>
        <w:rPr>
          <w:rFonts w:ascii="Garamond" w:eastAsia="Garamond" w:hAnsi="Garamond"/>
          <w:b/>
          <w:sz w:val="24"/>
        </w:rPr>
      </w:pPr>
      <w:bookmarkStart w:id="0" w:name="_GoBack"/>
      <w:r>
        <w:rPr>
          <w:rFonts w:ascii="Garamond" w:eastAsia="Garamond" w:hAnsi="Garamond"/>
          <w:b/>
          <w:sz w:val="24"/>
        </w:rPr>
        <w:t>VENDIM</w:t>
      </w:r>
    </w:p>
    <w:p w:rsidR="00C92EC4" w:rsidRDefault="00C92EC4" w:rsidP="00C92EC4">
      <w:pPr>
        <w:spacing w:line="239" w:lineRule="auto"/>
        <w:ind w:right="100"/>
        <w:jc w:val="center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Nr. 673, datë 16.10.2019</w:t>
      </w:r>
    </w:p>
    <w:bookmarkEnd w:id="0"/>
    <w:p w:rsidR="00C92EC4" w:rsidRDefault="00C92EC4" w:rsidP="00C92EC4">
      <w:pPr>
        <w:spacing w:line="270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right="120"/>
        <w:jc w:val="center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PËR ORGANIZIMIN DHE</w:t>
      </w:r>
    </w:p>
    <w:p w:rsidR="00C92EC4" w:rsidRDefault="00C92EC4" w:rsidP="00C92EC4">
      <w:pPr>
        <w:spacing w:line="1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right="120"/>
        <w:jc w:val="center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FUNKSIONIMIN E AGJENCISË</w:t>
      </w:r>
    </w:p>
    <w:p w:rsidR="00C92EC4" w:rsidRDefault="00C92EC4" w:rsidP="00C92EC4">
      <w:pPr>
        <w:spacing w:line="260" w:lineRule="auto"/>
        <w:ind w:left="100" w:right="180" w:hanging="33"/>
        <w:rPr>
          <w:rFonts w:ascii="Garamond" w:eastAsia="Garamond" w:hAnsi="Garamond"/>
          <w:b/>
          <w:sz w:val="23"/>
        </w:rPr>
      </w:pPr>
      <w:r>
        <w:rPr>
          <w:rFonts w:ascii="Garamond" w:eastAsia="Garamond" w:hAnsi="Garamond"/>
          <w:b/>
          <w:sz w:val="23"/>
        </w:rPr>
        <w:t>KOMBËTARE TË ARSIMIT, FORMIMIT PROFESIONAL DHE KUALIFIKIMEVE</w:t>
      </w:r>
    </w:p>
    <w:p w:rsidR="00C92EC4" w:rsidRDefault="00C92EC4" w:rsidP="00C92EC4">
      <w:pPr>
        <w:spacing w:line="251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239" w:lineRule="auto"/>
        <w:ind w:left="120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3"/>
        </w:rPr>
        <w:t>Në mbështetje të nenit 100 të Kushtetutës, të pikës 2, të nenit 10, të ligjit nr.</w:t>
      </w:r>
      <w:proofErr w:type="gramEnd"/>
      <w:r>
        <w:rPr>
          <w:rFonts w:ascii="Garamond" w:eastAsia="Garamond" w:hAnsi="Garamond"/>
          <w:sz w:val="23"/>
        </w:rPr>
        <w:t xml:space="preserve"> </w:t>
      </w:r>
      <w:proofErr w:type="gramStart"/>
      <w:r>
        <w:rPr>
          <w:rFonts w:ascii="Garamond" w:eastAsia="Garamond" w:hAnsi="Garamond"/>
          <w:sz w:val="23"/>
        </w:rPr>
        <w:t>15/2017, “Për arsimin dhe formimin profesional në Republikën e Shqipërisë”, të shkronjës “a”, të pikës 1, të nenit 10, të ligjit nr.</w:t>
      </w:r>
      <w:proofErr w:type="gramEnd"/>
      <w:r>
        <w:rPr>
          <w:rFonts w:ascii="Garamond" w:eastAsia="Garamond" w:hAnsi="Garamond"/>
          <w:sz w:val="23"/>
        </w:rPr>
        <w:t xml:space="preserve"> </w:t>
      </w:r>
      <w:proofErr w:type="gramStart"/>
      <w:r>
        <w:rPr>
          <w:rFonts w:ascii="Garamond" w:eastAsia="Garamond" w:hAnsi="Garamond"/>
          <w:sz w:val="23"/>
        </w:rPr>
        <w:t>10247, datë 4.3.2010, “Për Kornizën Shqiptare të Kualifikimeve”, të ndryshuar, dhe të nenit 6, të ligjit nr.</w:t>
      </w:r>
      <w:proofErr w:type="gramEnd"/>
      <w:r>
        <w:rPr>
          <w:rFonts w:ascii="Garamond" w:eastAsia="Garamond" w:hAnsi="Garamond"/>
          <w:sz w:val="23"/>
        </w:rPr>
        <w:t xml:space="preserve"> 90/2012, “Për organizimin dhe</w:t>
      </w:r>
      <w:r w:rsidRPr="00C92EC4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 xml:space="preserve">funksionimin </w:t>
      </w:r>
      <w:proofErr w:type="gramStart"/>
      <w:r>
        <w:rPr>
          <w:rFonts w:ascii="Garamond" w:eastAsia="Garamond" w:hAnsi="Garamond"/>
          <w:sz w:val="24"/>
        </w:rPr>
        <w:t>e</w:t>
      </w:r>
      <w:r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 xml:space="preserve"> administratës</w:t>
      </w:r>
      <w:proofErr w:type="gramEnd"/>
      <w:r>
        <w:rPr>
          <w:rFonts w:ascii="Garamond" w:eastAsia="Garamond" w:hAnsi="Garamond"/>
          <w:sz w:val="24"/>
        </w:rPr>
        <w:t xml:space="preserve"> shtetërore”, me propozimin e ministrit të Financave dhe Ekonomisë, Këshilli i Ministrave</w:t>
      </w:r>
    </w:p>
    <w:p w:rsidR="00C92EC4" w:rsidRDefault="00C92EC4" w:rsidP="00C92EC4">
      <w:pPr>
        <w:spacing w:line="272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left="400"/>
        <w:jc w:val="center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VENDOSI:</w:t>
      </w:r>
    </w:p>
    <w:p w:rsidR="00C92EC4" w:rsidRDefault="00C92EC4" w:rsidP="00C92EC4">
      <w:pPr>
        <w:spacing w:line="270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left="40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I. DISPOZITA TË PËRGJITHSHME</w:t>
      </w:r>
    </w:p>
    <w:p w:rsidR="00C92EC4" w:rsidRDefault="00C92EC4" w:rsidP="00C92EC4">
      <w:pPr>
        <w:spacing w:line="2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numPr>
          <w:ilvl w:val="0"/>
          <w:numId w:val="1"/>
        </w:numPr>
        <w:tabs>
          <w:tab w:val="left" w:pos="672"/>
        </w:tabs>
        <w:spacing w:line="239" w:lineRule="auto"/>
        <w:ind w:left="1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Organizimin dhe funksionimin e Agjencisë Kombëtare të Arsimit, Formimit Profesional dhe Kualifikimeve (këtu e më poshtë AKAFPK), si person juridik publik, buxhetor, në varësi të ministrit përgjegjës për arsimin dhe formimin profesional (këtu e më poshtë ministri), me seli në Tiranë.</w:t>
      </w:r>
    </w:p>
    <w:p w:rsidR="00C92EC4" w:rsidRDefault="00C92EC4" w:rsidP="00C92EC4">
      <w:pPr>
        <w:spacing w:line="7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1"/>
        </w:numPr>
        <w:tabs>
          <w:tab w:val="left" w:pos="633"/>
        </w:tabs>
        <w:spacing w:line="0" w:lineRule="atLeast"/>
        <w:ind w:left="120" w:firstLine="276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Agjencia financohet nga buxheti i shtetit dhe të ardhura të tjera të ligjshme.</w:t>
      </w:r>
    </w:p>
    <w:p w:rsidR="00C92EC4" w:rsidRDefault="00C92EC4" w:rsidP="00C92EC4">
      <w:pPr>
        <w:numPr>
          <w:ilvl w:val="0"/>
          <w:numId w:val="1"/>
        </w:numPr>
        <w:tabs>
          <w:tab w:val="left" w:pos="662"/>
        </w:tabs>
        <w:spacing w:line="250" w:lineRule="auto"/>
        <w:ind w:left="120" w:firstLine="276"/>
        <w:jc w:val="both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AKAFPK-ja ka për mision sigurimin e një sistemi të unifikuar të kualifikimeve profesionale, të njohura në nivel kombëtar, bazuar në Kornizën Shqiptare të Kualifikimeve (KSHK), si dhe sigurimin e cilësisë së mësuesve/instruktorëve të arsimit e formimit profesional (AFP), nëpërmjet kualifikimit dhe trajnimit të vazhduar.</w:t>
      </w:r>
    </w:p>
    <w:p w:rsidR="00C92EC4" w:rsidRDefault="00C92EC4" w:rsidP="00C92EC4">
      <w:pPr>
        <w:spacing w:line="3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04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AKAFPK-ja ushtron veprimtarinë e saj në:</w:t>
      </w:r>
    </w:p>
    <w:p w:rsidR="00C92EC4" w:rsidRDefault="00C92EC4" w:rsidP="00C92EC4">
      <w:pPr>
        <w:numPr>
          <w:ilvl w:val="0"/>
          <w:numId w:val="2"/>
        </w:numPr>
        <w:tabs>
          <w:tab w:val="left" w:pos="684"/>
        </w:tabs>
        <w:spacing w:line="250" w:lineRule="auto"/>
        <w:ind w:left="120" w:firstLine="276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krijimin dhe vlerësimin e vazhdueshëm të sistemit të unifikuar të kualifikimeve profesionale;</w:t>
      </w:r>
    </w:p>
    <w:p w:rsidR="00C92EC4" w:rsidRDefault="00C92EC4" w:rsidP="00C92EC4">
      <w:pPr>
        <w:numPr>
          <w:ilvl w:val="0"/>
          <w:numId w:val="2"/>
        </w:numPr>
        <w:tabs>
          <w:tab w:val="left" w:pos="729"/>
        </w:tabs>
        <w:spacing w:line="239" w:lineRule="auto"/>
        <w:ind w:left="120" w:firstLine="276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kualifikimin</w:t>
      </w:r>
      <w:proofErr w:type="gramEnd"/>
      <w:r>
        <w:rPr>
          <w:rFonts w:ascii="Garamond" w:eastAsia="Garamond" w:hAnsi="Garamond"/>
          <w:sz w:val="24"/>
        </w:rPr>
        <w:t xml:space="preserve"> dhe trajnimin e vazhduar të personelit mësimdhënës të arsimit dhe formimit profesional.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238" w:lineRule="auto"/>
        <w:ind w:left="120" w:firstLine="283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II. PËRGJEGJËSITË FUNKSIONALE TË AKAFPK-së</w:t>
      </w:r>
    </w:p>
    <w:p w:rsidR="00C92EC4" w:rsidRDefault="00C92EC4" w:rsidP="00C92EC4">
      <w:pPr>
        <w:spacing w:line="3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0" w:lineRule="atLeast"/>
        <w:ind w:left="40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AKAFPK-ja ka përgjegjësi:</w:t>
      </w:r>
    </w:p>
    <w:p w:rsidR="00C92EC4" w:rsidRDefault="00C92EC4" w:rsidP="00C92EC4">
      <w:pPr>
        <w:numPr>
          <w:ilvl w:val="0"/>
          <w:numId w:val="3"/>
        </w:numPr>
        <w:tabs>
          <w:tab w:val="left" w:pos="626"/>
        </w:tabs>
        <w:spacing w:line="239" w:lineRule="auto"/>
        <w:ind w:left="1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të organizojë punën për të garantuar nivelin e cilësisë së Listës Kombëtare të Kualifikimeve dhe të Katalogut Kombëtar të Kualifikimeve</w:t>
      </w:r>
    </w:p>
    <w:p w:rsidR="00C92EC4" w:rsidRDefault="00C92EC4" w:rsidP="00C92EC4">
      <w:pPr>
        <w:spacing w:line="3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left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Profesionale;</w:t>
      </w:r>
    </w:p>
    <w:p w:rsidR="00C92EC4" w:rsidRDefault="00C92EC4" w:rsidP="00C92EC4">
      <w:pPr>
        <w:numPr>
          <w:ilvl w:val="1"/>
          <w:numId w:val="4"/>
        </w:numPr>
        <w:tabs>
          <w:tab w:val="left" w:pos="785"/>
        </w:tabs>
        <w:spacing w:line="0" w:lineRule="atLeast"/>
        <w:ind w:left="120" w:firstLine="276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të organizojë punën për të garantuar standardet e profesioneve;</w:t>
      </w:r>
    </w:p>
    <w:p w:rsidR="00C92EC4" w:rsidRDefault="00C92EC4" w:rsidP="00C92EC4">
      <w:pPr>
        <w:numPr>
          <w:ilvl w:val="1"/>
          <w:numId w:val="4"/>
        </w:numPr>
        <w:tabs>
          <w:tab w:val="left" w:pos="629"/>
        </w:tabs>
        <w:spacing w:line="239" w:lineRule="auto"/>
        <w:ind w:left="1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të organizojë punën për të garantuar nivelin e kualifikimit të personelit mësimdhënës të arsimit dhe formimit profesional;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250" w:lineRule="auto"/>
        <w:ind w:left="120" w:firstLine="283"/>
        <w:jc w:val="both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 xml:space="preserve">ç) </w:t>
      </w:r>
      <w:proofErr w:type="gramStart"/>
      <w:r>
        <w:rPr>
          <w:rFonts w:ascii="Garamond" w:eastAsia="Garamond" w:hAnsi="Garamond"/>
          <w:sz w:val="23"/>
        </w:rPr>
        <w:t>të</w:t>
      </w:r>
      <w:proofErr w:type="gramEnd"/>
      <w:r>
        <w:rPr>
          <w:rFonts w:ascii="Garamond" w:eastAsia="Garamond" w:hAnsi="Garamond"/>
          <w:sz w:val="23"/>
        </w:rPr>
        <w:t xml:space="preserve"> organizojë punën për të garantuar zbatimin e standardeve dhe të programeve kombëtare nga institucionet publike ofruese të AFP-së;</w:t>
      </w:r>
    </w:p>
    <w:p w:rsidR="00C92EC4" w:rsidRDefault="00C92EC4" w:rsidP="00C92EC4">
      <w:pPr>
        <w:numPr>
          <w:ilvl w:val="1"/>
          <w:numId w:val="4"/>
        </w:numPr>
        <w:tabs>
          <w:tab w:val="left" w:pos="655"/>
        </w:tabs>
        <w:spacing w:line="261" w:lineRule="auto"/>
        <w:ind w:left="120" w:firstLine="276"/>
        <w:jc w:val="both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të vlerësojë cilësinë dhe të akreditojë ofruesit e AFP-së për kualifikimet profesionale të niveleve 2</w:t>
      </w:r>
    </w:p>
    <w:p w:rsidR="00C92EC4" w:rsidRDefault="00C92EC4" w:rsidP="00C92EC4">
      <w:pPr>
        <w:spacing w:line="1" w:lineRule="exact"/>
        <w:rPr>
          <w:rFonts w:ascii="Garamond" w:eastAsia="Garamond" w:hAnsi="Garamond"/>
          <w:sz w:val="22"/>
        </w:rPr>
      </w:pPr>
    </w:p>
    <w:p w:rsidR="00C92EC4" w:rsidRDefault="00C92EC4" w:rsidP="00C92EC4">
      <w:pPr>
        <w:numPr>
          <w:ilvl w:val="0"/>
          <w:numId w:val="4"/>
        </w:numPr>
        <w:tabs>
          <w:tab w:val="left" w:pos="298"/>
        </w:tabs>
        <w:spacing w:line="239" w:lineRule="auto"/>
        <w:ind w:left="120" w:hanging="7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5 të KSHK-së si dhe qendrat e vlerësimit për zbatimin e procedurave të njohjes të të nxënit të mëparshëm joformal dhe informal.</w:t>
      </w:r>
    </w:p>
    <w:p w:rsidR="00C92EC4" w:rsidRDefault="00C92EC4" w:rsidP="00C92EC4">
      <w:pPr>
        <w:numPr>
          <w:ilvl w:val="0"/>
          <w:numId w:val="5"/>
        </w:numPr>
        <w:tabs>
          <w:tab w:val="left" w:pos="677"/>
        </w:tabs>
        <w:spacing w:line="0" w:lineRule="atLeast"/>
        <w:ind w:right="100" w:firstLine="285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ORGANIZIMI DHE FUNKSIONIMI I AKAFPK-së</w:t>
      </w:r>
    </w:p>
    <w:p w:rsidR="00C92EC4" w:rsidRDefault="00C92EC4" w:rsidP="00C92EC4">
      <w:pPr>
        <w:spacing w:line="239" w:lineRule="auto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1. AKAFPK-ja e ushtron veprimtarinë e saj në të gjithë territorin e Republikës së Shqipërisë dhe organizohet në nivel qendror.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239" w:lineRule="auto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2. AKAFPK-ja i ushtron funksionet e saj në përputhje me përcaktimet e legjislacionit në fuqi për arsimin dhe formimin profesional në Republikën e Shqipërisë dhe të legjislacionit në fuqi për kornizën e kualifikimeve.</w:t>
      </w:r>
    </w:p>
    <w:p w:rsidR="00C92EC4" w:rsidRDefault="00C92EC4" w:rsidP="00C92EC4">
      <w:pPr>
        <w:spacing w:line="5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0" w:lineRule="atLeast"/>
        <w:ind w:right="100" w:firstLine="283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3. AKAFPK-ja kryen detyrat, si më poshtë vijon:</w:t>
      </w:r>
    </w:p>
    <w:p w:rsidR="00C92EC4" w:rsidRDefault="00C92EC4" w:rsidP="00C92EC4">
      <w:pPr>
        <w:spacing w:line="0" w:lineRule="atLeast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a) </w:t>
      </w:r>
      <w:proofErr w:type="gramStart"/>
      <w:r>
        <w:rPr>
          <w:rFonts w:ascii="Garamond" w:eastAsia="Garamond" w:hAnsi="Garamond"/>
          <w:sz w:val="24"/>
        </w:rPr>
        <w:t>harton</w:t>
      </w:r>
      <w:proofErr w:type="gramEnd"/>
      <w:r>
        <w:rPr>
          <w:rFonts w:ascii="Garamond" w:eastAsia="Garamond" w:hAnsi="Garamond"/>
          <w:sz w:val="24"/>
        </w:rPr>
        <w:t xml:space="preserve"> dhe rishikon Listën Kombëtare të Profesioneve, në bashkëpunim me Institutin e Statistikave, përfaqësuesit e sektorëve ekonomikë etj.;</w:t>
      </w:r>
    </w:p>
    <w:p w:rsidR="00C92EC4" w:rsidRDefault="00C92EC4" w:rsidP="00C92EC4">
      <w:pPr>
        <w:spacing w:line="239" w:lineRule="auto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b) </w:t>
      </w:r>
      <w:proofErr w:type="gramStart"/>
      <w:r>
        <w:rPr>
          <w:rFonts w:ascii="Garamond" w:eastAsia="Garamond" w:hAnsi="Garamond"/>
          <w:sz w:val="24"/>
        </w:rPr>
        <w:t>harton</w:t>
      </w:r>
      <w:proofErr w:type="gramEnd"/>
      <w:r>
        <w:rPr>
          <w:rFonts w:ascii="Garamond" w:eastAsia="Garamond" w:hAnsi="Garamond"/>
          <w:sz w:val="24"/>
        </w:rPr>
        <w:t xml:space="preserve"> dhe rishikon Katalogun Kombëtar të Kualifikimeve Profesionale për nivelet 2-5 të KSHK-së;</w:t>
      </w:r>
    </w:p>
    <w:p w:rsidR="00C92EC4" w:rsidRDefault="00C92EC4" w:rsidP="00C92EC4">
      <w:pPr>
        <w:spacing w:line="5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239" w:lineRule="auto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lastRenderedPageBreak/>
        <w:t xml:space="preserve">c) </w:t>
      </w:r>
      <w:proofErr w:type="gramStart"/>
      <w:r>
        <w:rPr>
          <w:rFonts w:ascii="Garamond" w:eastAsia="Garamond" w:hAnsi="Garamond"/>
          <w:sz w:val="24"/>
        </w:rPr>
        <w:t>harton</w:t>
      </w:r>
      <w:proofErr w:type="gramEnd"/>
      <w:r>
        <w:rPr>
          <w:rFonts w:ascii="Garamond" w:eastAsia="Garamond" w:hAnsi="Garamond"/>
          <w:sz w:val="24"/>
        </w:rPr>
        <w:t xml:space="preserve"> dhe rishikon standardet e profesioneve;</w:t>
      </w:r>
    </w:p>
    <w:p w:rsidR="00C92EC4" w:rsidRDefault="00C92EC4" w:rsidP="00C92EC4">
      <w:pPr>
        <w:spacing w:line="3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239" w:lineRule="auto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ç) </w:t>
      </w:r>
      <w:proofErr w:type="gramStart"/>
      <w:r>
        <w:rPr>
          <w:rFonts w:ascii="Garamond" w:eastAsia="Garamond" w:hAnsi="Garamond"/>
          <w:sz w:val="24"/>
        </w:rPr>
        <w:t>harton</w:t>
      </w:r>
      <w:proofErr w:type="gramEnd"/>
      <w:r>
        <w:rPr>
          <w:rFonts w:ascii="Garamond" w:eastAsia="Garamond" w:hAnsi="Garamond"/>
          <w:sz w:val="24"/>
        </w:rPr>
        <w:t xml:space="preserve"> dhe rishikon standardet e kualifikimeve profesionale të niveleve 2-5 të KSHK-së, në terma të rezultateve të të nxënit, si dhe të standardeve të vlerësimit për kualifikimet profesionale;</w:t>
      </w:r>
    </w:p>
    <w:p w:rsidR="00C92EC4" w:rsidRDefault="00C92EC4" w:rsidP="00C92EC4">
      <w:pPr>
        <w:spacing w:line="4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numPr>
          <w:ilvl w:val="0"/>
          <w:numId w:val="6"/>
        </w:numPr>
        <w:tabs>
          <w:tab w:val="left" w:pos="650"/>
        </w:tabs>
        <w:spacing w:line="250" w:lineRule="auto"/>
        <w:ind w:right="100" w:firstLine="285"/>
        <w:jc w:val="both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këshillohet me palë të interesuara për zhvillimin, zbatimin dhe rishikimin e procedurave për përfshirjen e kualifikimeve në KSHK;</w:t>
      </w:r>
    </w:p>
    <w:p w:rsidR="00C92EC4" w:rsidRDefault="00C92EC4" w:rsidP="00C92EC4">
      <w:pPr>
        <w:spacing w:line="2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spacing w:line="250" w:lineRule="auto"/>
        <w:ind w:right="100" w:firstLine="283"/>
        <w:jc w:val="both"/>
        <w:rPr>
          <w:rFonts w:ascii="Garamond" w:eastAsia="Garamond" w:hAnsi="Garamond"/>
          <w:sz w:val="23"/>
        </w:rPr>
      </w:pPr>
      <w:proofErr w:type="gramStart"/>
      <w:r>
        <w:rPr>
          <w:rFonts w:ascii="Garamond" w:eastAsia="Garamond" w:hAnsi="Garamond"/>
          <w:sz w:val="23"/>
        </w:rPr>
        <w:t>dh</w:t>
      </w:r>
      <w:proofErr w:type="gramEnd"/>
      <w:r>
        <w:rPr>
          <w:rFonts w:ascii="Garamond" w:eastAsia="Garamond" w:hAnsi="Garamond"/>
          <w:sz w:val="23"/>
        </w:rPr>
        <w:t>) propozon ndryshimet në kritere dhe proceduara për sigurimin e cilësisë së kualifikimeve profesionale, që përfshihen në KSHK;</w:t>
      </w:r>
    </w:p>
    <w:p w:rsidR="00C92EC4" w:rsidRDefault="00C92EC4" w:rsidP="00C92EC4">
      <w:pPr>
        <w:numPr>
          <w:ilvl w:val="0"/>
          <w:numId w:val="6"/>
        </w:numPr>
        <w:tabs>
          <w:tab w:val="left" w:pos="535"/>
        </w:tabs>
        <w:spacing w:line="239" w:lineRule="auto"/>
        <w:ind w:right="100" w:firstLine="285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ndjek procedurat për vlefshmërinë e cilësisë së kualifikimeve, pjesë e KSHK-së, në bashkëpunim me komitetet sektoriale;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239" w:lineRule="auto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ë) </w:t>
      </w:r>
      <w:proofErr w:type="gramStart"/>
      <w:r>
        <w:rPr>
          <w:rFonts w:ascii="Garamond" w:eastAsia="Garamond" w:hAnsi="Garamond"/>
          <w:sz w:val="24"/>
        </w:rPr>
        <w:t>harton</w:t>
      </w:r>
      <w:proofErr w:type="gramEnd"/>
      <w:r>
        <w:rPr>
          <w:rFonts w:ascii="Garamond" w:eastAsia="Garamond" w:hAnsi="Garamond"/>
          <w:sz w:val="24"/>
        </w:rPr>
        <w:t xml:space="preserve"> dhe rishikon programet (kurrikulat) kombëtare për kualifikimet profesionale të niveleve 2-5 të KSHK-së;</w:t>
      </w:r>
    </w:p>
    <w:p w:rsidR="00C92EC4" w:rsidRDefault="00C92EC4" w:rsidP="00C92EC4">
      <w:pPr>
        <w:spacing w:line="2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6"/>
        </w:numPr>
        <w:tabs>
          <w:tab w:val="left" w:pos="513"/>
        </w:tabs>
        <w:spacing w:line="0" w:lineRule="atLeast"/>
        <w:ind w:right="100" w:firstLine="285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harton dhe rishikon programet e kurseve të unifikuara të formimit profesional publik;</w:t>
      </w:r>
    </w:p>
    <w:p w:rsidR="00C92EC4" w:rsidRDefault="00C92EC4" w:rsidP="00C92EC4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95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monitoron  zbatimin  e  standardeve  dhe  të</w:t>
      </w:r>
    </w:p>
    <w:p w:rsidR="00C92EC4" w:rsidRDefault="00C92EC4" w:rsidP="00C92EC4">
      <w:pPr>
        <w:spacing w:line="12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spacing w:line="238" w:lineRule="auto"/>
        <w:ind w:right="100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programeve</w:t>
      </w:r>
      <w:proofErr w:type="gramEnd"/>
      <w:r>
        <w:rPr>
          <w:rFonts w:ascii="Garamond" w:eastAsia="Garamond" w:hAnsi="Garamond"/>
          <w:sz w:val="24"/>
        </w:rPr>
        <w:t xml:space="preserve"> (kurrikulave) kombëtare nga institucionet publike ofruese të AFP-së;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spacing w:line="239" w:lineRule="auto"/>
        <w:ind w:right="100" w:firstLine="283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gj</w:t>
      </w:r>
      <w:proofErr w:type="gramEnd"/>
      <w:r>
        <w:rPr>
          <w:rFonts w:ascii="Garamond" w:eastAsia="Garamond" w:hAnsi="Garamond"/>
          <w:sz w:val="24"/>
        </w:rPr>
        <w:t>) përcakton kriteret e vlerësimit dhe të certifikimit të nxënësve e kursantëve në sistemin e AFP-së;</w:t>
      </w:r>
    </w:p>
    <w:p w:rsidR="00C92EC4" w:rsidRDefault="00C92EC4" w:rsidP="00C92EC4">
      <w:pPr>
        <w:spacing w:line="2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numPr>
          <w:ilvl w:val="0"/>
          <w:numId w:val="6"/>
        </w:numPr>
        <w:tabs>
          <w:tab w:val="left" w:pos="545"/>
        </w:tabs>
        <w:spacing w:line="0" w:lineRule="atLeast"/>
        <w:ind w:right="100" w:firstLine="285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harton materialet mësimore mbështetëse për ofruesit e AFP-së;</w:t>
      </w:r>
    </w:p>
    <w:p w:rsidR="00C92EC4" w:rsidRDefault="00C92EC4" w:rsidP="00C92EC4">
      <w:pPr>
        <w:spacing w:line="0" w:lineRule="atLeast"/>
        <w:ind w:left="120" w:right="20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harton</w:t>
      </w:r>
      <w:proofErr w:type="gramEnd"/>
      <w:r>
        <w:rPr>
          <w:rFonts w:ascii="Garamond" w:eastAsia="Garamond" w:hAnsi="Garamond"/>
          <w:sz w:val="24"/>
        </w:rPr>
        <w:t xml:space="preserve"> programet orientuese të provimeve të niveleve dhe provimit të maturës shtetërore</w:t>
      </w:r>
      <w:r w:rsidRPr="00C92EC4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>profesionale për çdo kualifikim profesional të niveleve 2-5 të KSHK-së;</w:t>
      </w:r>
    </w:p>
    <w:p w:rsidR="00C92EC4" w:rsidRDefault="00C92EC4" w:rsidP="00C92EC4">
      <w:pPr>
        <w:numPr>
          <w:ilvl w:val="0"/>
          <w:numId w:val="7"/>
        </w:numPr>
        <w:tabs>
          <w:tab w:val="left" w:pos="619"/>
        </w:tabs>
        <w:spacing w:line="0" w:lineRule="atLeast"/>
        <w:ind w:left="120" w:right="20" w:firstLine="276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harton dhe rishikon standardet, kriteret dhe procedurat e akreditimit të ofruesve të AFP-së;</w:t>
      </w:r>
    </w:p>
    <w:p w:rsidR="00C92EC4" w:rsidRDefault="00C92EC4" w:rsidP="00C92EC4">
      <w:pPr>
        <w:numPr>
          <w:ilvl w:val="0"/>
          <w:numId w:val="7"/>
        </w:numPr>
        <w:tabs>
          <w:tab w:val="left" w:pos="660"/>
        </w:tabs>
        <w:spacing w:line="239" w:lineRule="auto"/>
        <w:ind w:left="120" w:right="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akrediton ofruesit e AFP-së për kualifikimet profesionale të niveleve 2-5 të KSHK-së si dhe qendrat e vlerësimit për zbatimin e procedurave të njohjes të të nxënit të mëparshëm joformal dhe informal;</w:t>
      </w:r>
    </w:p>
    <w:p w:rsidR="00C92EC4" w:rsidRDefault="00C92EC4" w:rsidP="00C92EC4">
      <w:pPr>
        <w:spacing w:line="7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7"/>
        </w:numPr>
        <w:tabs>
          <w:tab w:val="left" w:pos="667"/>
        </w:tabs>
        <w:spacing w:line="239" w:lineRule="auto"/>
        <w:ind w:left="120" w:right="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harton programet kombëtare, administron dhe monitoron procedurat për kualifikimin dhe atestimin e vazhduar të mësuesve dhe instruktorëve të kulturës profesionale të AFP-së;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8"/>
        </w:numPr>
        <w:tabs>
          <w:tab w:val="left" w:pos="636"/>
        </w:tabs>
        <w:spacing w:line="238" w:lineRule="auto"/>
        <w:ind w:left="120" w:right="20" w:firstLine="276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mbështet metodologjikisht njësitë e zhvillimit të ofruesve të AFP-së;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9"/>
        </w:numPr>
        <w:tabs>
          <w:tab w:val="left" w:pos="751"/>
        </w:tabs>
        <w:spacing w:line="239" w:lineRule="auto"/>
        <w:ind w:left="120" w:right="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mbështet ofruesit e AFP-së për zhvillimin dhe sigurimin e cilësisë në përputhje me kriteret e akreditimit;</w:t>
      </w:r>
    </w:p>
    <w:p w:rsidR="00C92EC4" w:rsidRDefault="00C92EC4" w:rsidP="00C92EC4">
      <w:pPr>
        <w:spacing w:line="2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9"/>
        </w:numPr>
        <w:tabs>
          <w:tab w:val="left" w:pos="655"/>
        </w:tabs>
        <w:spacing w:line="0" w:lineRule="atLeast"/>
        <w:ind w:left="120" w:right="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harton dhe rishikon standardet dhe kriteret e akreditimit të qendrave për zhvillimin e procedurave të njohjes të të nxënit të mëparshëm joformal dhe informal;</w:t>
      </w:r>
    </w:p>
    <w:p w:rsidR="00C92EC4" w:rsidRDefault="00C92EC4" w:rsidP="00C92EC4">
      <w:pPr>
        <w:spacing w:line="239" w:lineRule="auto"/>
        <w:ind w:left="120" w:right="20" w:firstLine="283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nj</w:t>
      </w:r>
      <w:proofErr w:type="gramEnd"/>
      <w:r>
        <w:rPr>
          <w:rFonts w:ascii="Garamond" w:eastAsia="Garamond" w:hAnsi="Garamond"/>
          <w:sz w:val="24"/>
        </w:rPr>
        <w:t>) harton dhe zbaton projektet kombëtare e ndërkombëtare për jetësimin e prioriteteve në fushën e AFP-së;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9"/>
        </w:numPr>
        <w:tabs>
          <w:tab w:val="left" w:pos="662"/>
        </w:tabs>
        <w:spacing w:line="250" w:lineRule="auto"/>
        <w:ind w:left="120" w:right="20" w:firstLine="276"/>
        <w:jc w:val="both"/>
        <w:rPr>
          <w:rFonts w:ascii="Garamond" w:eastAsia="Garamond" w:hAnsi="Garamond"/>
          <w:sz w:val="23"/>
        </w:rPr>
      </w:pPr>
      <w:proofErr w:type="gramStart"/>
      <w:r>
        <w:rPr>
          <w:rFonts w:ascii="Garamond" w:eastAsia="Garamond" w:hAnsi="Garamond"/>
          <w:sz w:val="23"/>
        </w:rPr>
        <w:t>mbështet</w:t>
      </w:r>
      <w:proofErr w:type="gramEnd"/>
      <w:r>
        <w:rPr>
          <w:rFonts w:ascii="Garamond" w:eastAsia="Garamond" w:hAnsi="Garamond"/>
          <w:sz w:val="23"/>
        </w:rPr>
        <w:t xml:space="preserve"> administrativisht organet tripalëshe të përfshira në zhvillimin e AFP-së, në përputhje me mandatin dhe funksionet e institucionit.</w:t>
      </w:r>
    </w:p>
    <w:p w:rsidR="00C92EC4" w:rsidRDefault="00C92EC4" w:rsidP="00C92EC4">
      <w:pPr>
        <w:spacing w:line="239" w:lineRule="auto"/>
        <w:ind w:left="40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4. AKAFPK-ja raporton në mënyrë periodike,</w:t>
      </w:r>
    </w:p>
    <w:p w:rsidR="00C92EC4" w:rsidRDefault="00C92EC4" w:rsidP="00C92EC4">
      <w:pPr>
        <w:spacing w:line="2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238" w:lineRule="auto"/>
        <w:ind w:left="120" w:right="20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të</w:t>
      </w:r>
      <w:proofErr w:type="gramEnd"/>
      <w:r>
        <w:rPr>
          <w:rFonts w:ascii="Garamond" w:eastAsia="Garamond" w:hAnsi="Garamond"/>
          <w:sz w:val="24"/>
        </w:rPr>
        <w:t xml:space="preserve"> paktën 1 herë në vit dhe sipas rastit, pranë ministrit përgjegjës për AFP-në.</w:t>
      </w:r>
    </w:p>
    <w:p w:rsidR="00C92EC4" w:rsidRDefault="00C92EC4" w:rsidP="00C92EC4">
      <w:pPr>
        <w:spacing w:line="5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numPr>
          <w:ilvl w:val="0"/>
          <w:numId w:val="10"/>
        </w:numPr>
        <w:tabs>
          <w:tab w:val="left" w:pos="708"/>
        </w:tabs>
        <w:spacing w:line="239" w:lineRule="auto"/>
        <w:ind w:left="120" w:right="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Rregullorja për metodat e brendshme të punës dhe sjelljen e personelit të AKAFPK-së miratohet nga ministri, me propozimin e drejtorit të Përgjithshëm.</w:t>
      </w:r>
    </w:p>
    <w:p w:rsidR="00C92EC4" w:rsidRDefault="00C92EC4" w:rsidP="00C92EC4">
      <w:pPr>
        <w:spacing w:line="5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10"/>
        </w:numPr>
        <w:tabs>
          <w:tab w:val="left" w:pos="797"/>
        </w:tabs>
        <w:spacing w:line="239" w:lineRule="auto"/>
        <w:ind w:left="1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AKAFPK-ja drejtohet nga drejtori i Përgjithshëm, që e përfaqëson në marrëdhënie me të tretët dhe ka për detyrë të organizojë, të administrojë e të drejtojë veprimtarinë e AKAFPK-së duke zbatuar politika efektive në menaxhimin e burimeve njerëzore e financiare, në përputhje me legjislacionin në fuqi.</w:t>
      </w:r>
    </w:p>
    <w:p w:rsidR="00C92EC4" w:rsidRDefault="00C92EC4" w:rsidP="00C92EC4">
      <w:pPr>
        <w:spacing w:line="6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10"/>
        </w:numPr>
        <w:tabs>
          <w:tab w:val="left" w:pos="773"/>
        </w:tabs>
        <w:spacing w:line="239" w:lineRule="auto"/>
        <w:ind w:left="120" w:right="20" w:firstLine="276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Marrëdhëniet e punës të drejtorit të Përgjithshëm dhe të nëpunësve të AKAFPK-</w:t>
      </w:r>
      <w:r w:rsidRPr="00C92EC4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>së rregullohen në bazë të dispozitave të legjislacionit për nëpunësin civil. Marrëdhëniet e punës së punonjësve administrativë të AKAFPK-së rregullohen në bazë të dispozitave të Kodit të Punës.</w:t>
      </w:r>
      <w:r w:rsidRPr="00C92EC4">
        <w:rPr>
          <w:rFonts w:ascii="Garamond" w:eastAsia="Garamond" w:hAnsi="Garamond"/>
          <w:sz w:val="24"/>
        </w:rPr>
        <w:t xml:space="preserve"> </w:t>
      </w:r>
      <w:proofErr w:type="gramStart"/>
      <w:r>
        <w:rPr>
          <w:rFonts w:ascii="Garamond" w:eastAsia="Garamond" w:hAnsi="Garamond"/>
          <w:sz w:val="24"/>
        </w:rPr>
        <w:t>së</w:t>
      </w:r>
      <w:proofErr w:type="gramEnd"/>
      <w:r>
        <w:rPr>
          <w:rFonts w:ascii="Garamond" w:eastAsia="Garamond" w:hAnsi="Garamond"/>
          <w:sz w:val="24"/>
        </w:rPr>
        <w:t xml:space="preserve"> rregullohen në bazë të dispozitave të legjislacionit për nëpunësin civil. Marrëdhëniet e punës së punonjësve administrativë të AKAFPK-së rregullohen në bazë të dispozitave të Kodit të Punës.</w:t>
      </w:r>
    </w:p>
    <w:p w:rsidR="00C92EC4" w:rsidRDefault="00C92EC4" w:rsidP="00C92EC4">
      <w:pPr>
        <w:spacing w:line="266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sz w:val="24"/>
        </w:rPr>
        <w:br w:type="column"/>
      </w:r>
    </w:p>
    <w:p w:rsidR="00C92EC4" w:rsidRDefault="00C92EC4" w:rsidP="00C92EC4">
      <w:pPr>
        <w:numPr>
          <w:ilvl w:val="0"/>
          <w:numId w:val="11"/>
        </w:numPr>
        <w:tabs>
          <w:tab w:val="left" w:pos="609"/>
        </w:tabs>
        <w:spacing w:line="0" w:lineRule="atLeast"/>
        <w:ind w:right="100" w:firstLine="285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AKAFPK-ja, për realizimin veprimtarive zhvillimore në fushën e AFP-së në përputhje me funksionet e saj, angazhon specialistë të jashtëm, me kontratë shërbimi.</w:t>
      </w:r>
    </w:p>
    <w:p w:rsidR="00C92EC4" w:rsidRDefault="00C92EC4" w:rsidP="00C92EC4">
      <w:pPr>
        <w:numPr>
          <w:ilvl w:val="0"/>
          <w:numId w:val="11"/>
        </w:numPr>
        <w:tabs>
          <w:tab w:val="left" w:pos="491"/>
        </w:tabs>
        <w:spacing w:line="250" w:lineRule="auto"/>
        <w:ind w:left="280" w:right="100" w:firstLine="5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Specialistët e jashtëm ndahen në tri kategori: a) specialistë të kategorisë së ulët, individë që</w:t>
      </w:r>
    </w:p>
    <w:p w:rsidR="00C92EC4" w:rsidRDefault="00C92EC4" w:rsidP="00C92EC4">
      <w:pPr>
        <w:spacing w:line="1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239" w:lineRule="auto"/>
        <w:ind w:right="100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kanë</w:t>
      </w:r>
      <w:proofErr w:type="gramEnd"/>
      <w:r>
        <w:rPr>
          <w:rFonts w:ascii="Garamond" w:eastAsia="Garamond" w:hAnsi="Garamond"/>
          <w:sz w:val="24"/>
        </w:rPr>
        <w:t xml:space="preserve"> një diplomë të arsimit të mesëm dhe përvojë pune mbi 3 vjet në fushën për të cilën lidhet kontrata;</w:t>
      </w:r>
    </w:p>
    <w:p w:rsidR="00C92EC4" w:rsidRDefault="00C92EC4" w:rsidP="00C92EC4">
      <w:pPr>
        <w:spacing w:line="5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numPr>
          <w:ilvl w:val="0"/>
          <w:numId w:val="12"/>
        </w:numPr>
        <w:tabs>
          <w:tab w:val="left" w:pos="526"/>
        </w:tabs>
        <w:spacing w:line="238" w:lineRule="auto"/>
        <w:ind w:right="100" w:firstLine="285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specialistë të kategorisë së mesme, individë që kanë një diplomë të arsimit të lartë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239" w:lineRule="auto"/>
        <w:ind w:right="10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(“Bachelor”/niveli 6 i KSHK-së), në fushën për të cilën lidhet kontrata dhe kanë një përvojë pune mbi 5 vjet në fushën përkatëse;</w:t>
      </w:r>
    </w:p>
    <w:p w:rsidR="00C92EC4" w:rsidRDefault="00C92EC4" w:rsidP="00C92EC4">
      <w:pPr>
        <w:spacing w:line="2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12"/>
        </w:numPr>
        <w:tabs>
          <w:tab w:val="left" w:pos="542"/>
        </w:tabs>
        <w:spacing w:line="239" w:lineRule="auto"/>
        <w:ind w:right="100" w:firstLine="285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specialistë</w:t>
      </w:r>
      <w:proofErr w:type="gramEnd"/>
      <w:r>
        <w:rPr>
          <w:rFonts w:ascii="Garamond" w:eastAsia="Garamond" w:hAnsi="Garamond"/>
          <w:sz w:val="24"/>
        </w:rPr>
        <w:t xml:space="preserve"> të kategorisë së lartë, individë që kanë një diplomë të ciklit të dytë/dhe ose të tretë të studimeve (“Master i shkencave” ose “Master Profesional”, doktoratë/niveli 7-8 i KSHK-së), sipas legjislacionit për arsimin e lartë, në fushën për të cilën lidhet kontrata dhe kanë një përvojë pune mbi 10 vjet në fushën përkatëse.</w:t>
      </w:r>
    </w:p>
    <w:p w:rsidR="00C92EC4" w:rsidRDefault="00C92EC4" w:rsidP="00C92EC4">
      <w:pPr>
        <w:spacing w:line="9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238" w:lineRule="auto"/>
        <w:ind w:right="100" w:firstLine="283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10. Shpërblimi i specialistëve të jashtëm bëhet sipas lidhjes nr. 1 dhe vëllimit të punës për</w:t>
      </w:r>
    </w:p>
    <w:p w:rsidR="00C92EC4" w:rsidRDefault="00C92EC4" w:rsidP="00C92EC4">
      <w:pPr>
        <w:spacing w:line="5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238" w:lineRule="auto"/>
        <w:ind w:right="100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produktet</w:t>
      </w:r>
      <w:proofErr w:type="gramEnd"/>
      <w:r>
        <w:rPr>
          <w:rFonts w:ascii="Garamond" w:eastAsia="Garamond" w:hAnsi="Garamond"/>
          <w:sz w:val="24"/>
        </w:rPr>
        <w:t xml:space="preserve"> përkatëse, të përcaktuara në lidhjen nr. </w:t>
      </w:r>
      <w:proofErr w:type="gramStart"/>
      <w:r>
        <w:rPr>
          <w:rFonts w:ascii="Garamond" w:eastAsia="Garamond" w:hAnsi="Garamond"/>
          <w:sz w:val="24"/>
        </w:rPr>
        <w:t>2, bashkëlidhur këtij vendimi.</w:t>
      </w:r>
      <w:proofErr w:type="gramEnd"/>
    </w:p>
    <w:p w:rsidR="00C92EC4" w:rsidRDefault="00C92EC4" w:rsidP="00C92EC4">
      <w:pPr>
        <w:spacing w:line="5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numPr>
          <w:ilvl w:val="0"/>
          <w:numId w:val="13"/>
        </w:numPr>
        <w:tabs>
          <w:tab w:val="left" w:pos="717"/>
        </w:tabs>
        <w:spacing w:line="239" w:lineRule="auto"/>
        <w:ind w:right="100" w:firstLine="285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Struktura dhe organika e AKAFPK-së miratohet me urdhër të Kryeministrit, sipas përcaktimeve të legjislacionit në fuqi për organizimin dhe funksionimin e administratës shtetërore.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13"/>
        </w:numPr>
        <w:tabs>
          <w:tab w:val="left" w:pos="631"/>
        </w:tabs>
        <w:spacing w:line="250" w:lineRule="auto"/>
        <w:ind w:right="100" w:firstLine="285"/>
        <w:jc w:val="both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AKAFPK-ja ka stemën, logon dhe vulën e vet zyrtare. Stema përbëhet nga stema e Republikës së Shqipërisë, me shënimet “Republika e</w:t>
      </w:r>
    </w:p>
    <w:p w:rsidR="00C92EC4" w:rsidRDefault="00C92EC4" w:rsidP="00C92EC4">
      <w:pPr>
        <w:spacing w:line="3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spacing w:line="250" w:lineRule="auto"/>
        <w:ind w:right="100"/>
        <w:jc w:val="both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Shqipërisë, Ministria e Financave dhe Ekonomisë, Agjencia Kombëtare e Arsimit, Formimit</w:t>
      </w:r>
    </w:p>
    <w:p w:rsidR="00C92EC4" w:rsidRDefault="00C92EC4" w:rsidP="00C92EC4">
      <w:pPr>
        <w:spacing w:line="239" w:lineRule="auto"/>
        <w:ind w:right="100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Profesional dhe Kualifikimeve”, në përputhje me përcaktimet e vendimit të Këshillit të Ministrave për mënyrën e përdorimit të stemës së Republikës së Shqipërisë.</w:t>
      </w:r>
      <w:proofErr w:type="gramEnd"/>
    </w:p>
    <w:p w:rsidR="00C92EC4" w:rsidRDefault="00C92EC4" w:rsidP="00C92EC4">
      <w:pPr>
        <w:spacing w:line="4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numPr>
          <w:ilvl w:val="0"/>
          <w:numId w:val="13"/>
        </w:numPr>
        <w:tabs>
          <w:tab w:val="left" w:pos="739"/>
        </w:tabs>
        <w:spacing w:line="239" w:lineRule="auto"/>
        <w:ind w:right="100" w:firstLine="285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Vula e AKAFPK-së ka formën dhe elementet e përcaktuara në vendimin e Këshillit të Ministrave për rregullat e prodhimit, të administrimit, kontrollit dhe ruajtjes së vulave zyrtare. Vula prodhohet,</w:t>
      </w:r>
      <w:r w:rsidRPr="00C92EC4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>administrohet dhe ruhet në përputhje me përcaktimet e legjislacionit shqiptar në fuqi.</w:t>
      </w:r>
    </w:p>
    <w:p w:rsidR="00C92EC4" w:rsidRDefault="00C92EC4" w:rsidP="00C92EC4">
      <w:pPr>
        <w:spacing w:line="7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0" w:lineRule="atLeast"/>
        <w:ind w:right="100" w:firstLine="283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IV. DISPOZITA KALIMTARE DHE TË FUNDIT</w:t>
      </w:r>
    </w:p>
    <w:p w:rsidR="00C92EC4" w:rsidRDefault="00C92EC4" w:rsidP="00C92EC4">
      <w:pPr>
        <w:spacing w:line="0" w:lineRule="atLeast"/>
        <w:ind w:left="38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Deri në fillimin e funksionimit të plotë të AKAFPK-së, sipas këtij vendimi, Agjencia</w:t>
      </w:r>
      <w:r w:rsidRPr="00C92EC4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>Kombëtare e Arsimit, Formimit Profesional dhe Kualifikimeve vazhdon funksionimin e saj në përputhje me strukturën dhe organikën aktualisht në fuqi.</w:t>
      </w:r>
    </w:p>
    <w:p w:rsidR="00C92EC4" w:rsidRDefault="00C92EC4" w:rsidP="00C92EC4">
      <w:pPr>
        <w:numPr>
          <w:ilvl w:val="0"/>
          <w:numId w:val="16"/>
        </w:numPr>
        <w:tabs>
          <w:tab w:val="left" w:pos="530"/>
        </w:tabs>
        <w:spacing w:line="239" w:lineRule="auto"/>
        <w:ind w:right="420" w:firstLine="285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Për nëpunësit civilë aktualë të Agjencisë Kombëtare të Arsimit, Formimit Profesional dhe Kualifikimeve zbatohen dispozitat e legjislacionit për nëpunësin civil në rastin e mbylljes dhe ristrukturimit të institucionit. Për punonjësit administrativë zbatohen dispozitat e Kodit të Punës.</w:t>
      </w:r>
      <w:r w:rsidRPr="00C92EC4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>Efektet financiare, që rrjedhin nga zbatimi i këtij vendimi, përballohen nga buxheti i miratuar për ministrinë përgjegjëse për AFP-në.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numPr>
          <w:ilvl w:val="0"/>
          <w:numId w:val="16"/>
        </w:numPr>
        <w:tabs>
          <w:tab w:val="left" w:pos="500"/>
        </w:tabs>
        <w:spacing w:line="0" w:lineRule="atLeast"/>
        <w:ind w:left="500" w:hanging="215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Vendimi nr. 321, datë 21.4.2011, i Këshillit të</w:t>
      </w:r>
    </w:p>
    <w:p w:rsidR="00C92EC4" w:rsidRDefault="00C92EC4" w:rsidP="00C92EC4">
      <w:pPr>
        <w:spacing w:line="10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spacing w:line="239" w:lineRule="auto"/>
        <w:ind w:right="420"/>
        <w:jc w:val="both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Ministrave, “Për krijimin e Agjencisë Kombëtare të Arsimit, Formimit Profesional dhe Kualifikimeve”, shfuqizohet.</w:t>
      </w:r>
      <w:proofErr w:type="gramEnd"/>
    </w:p>
    <w:p w:rsidR="00C92EC4" w:rsidRDefault="00C92EC4" w:rsidP="00C92EC4">
      <w:pPr>
        <w:spacing w:line="4" w:lineRule="exact"/>
        <w:rPr>
          <w:rFonts w:ascii="Garamond" w:eastAsia="Garamond" w:hAnsi="Garamond"/>
          <w:sz w:val="23"/>
        </w:rPr>
      </w:pPr>
    </w:p>
    <w:p w:rsidR="00C92EC4" w:rsidRDefault="00C92EC4" w:rsidP="00C92EC4">
      <w:pPr>
        <w:numPr>
          <w:ilvl w:val="0"/>
          <w:numId w:val="16"/>
        </w:numPr>
        <w:tabs>
          <w:tab w:val="left" w:pos="653"/>
        </w:tabs>
        <w:spacing w:line="238" w:lineRule="auto"/>
        <w:ind w:right="420" w:firstLine="285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Ngarkohet Ministria e Financave dhe Ekonomisë për zbatimin e këtij vendimi.</w:t>
      </w:r>
    </w:p>
    <w:p w:rsidR="00C92EC4" w:rsidRDefault="00C92EC4" w:rsidP="00C92EC4">
      <w:pPr>
        <w:spacing w:line="5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238" w:lineRule="auto"/>
        <w:ind w:right="420" w:firstLine="283"/>
        <w:rPr>
          <w:rFonts w:ascii="Garamond" w:eastAsia="Garamond" w:hAnsi="Garamond"/>
          <w:sz w:val="24"/>
        </w:rPr>
      </w:pPr>
      <w:proofErr w:type="gramStart"/>
      <w:r>
        <w:rPr>
          <w:rFonts w:ascii="Garamond" w:eastAsia="Garamond" w:hAnsi="Garamond"/>
          <w:sz w:val="24"/>
        </w:rPr>
        <w:t>Ky</w:t>
      </w:r>
      <w:proofErr w:type="gramEnd"/>
      <w:r>
        <w:rPr>
          <w:rFonts w:ascii="Garamond" w:eastAsia="Garamond" w:hAnsi="Garamond"/>
          <w:sz w:val="24"/>
        </w:rPr>
        <w:t xml:space="preserve"> vendim hyn në fuqi pas botimit në Fletoren Zyrtare.</w:t>
      </w:r>
    </w:p>
    <w:p w:rsidR="00C92EC4" w:rsidRDefault="00C92EC4" w:rsidP="00C92EC4">
      <w:pPr>
        <w:spacing w:line="4" w:lineRule="exact"/>
        <w:rPr>
          <w:rFonts w:ascii="Garamond" w:eastAsia="Garamond" w:hAnsi="Garamond"/>
          <w:sz w:val="24"/>
        </w:rPr>
      </w:pPr>
    </w:p>
    <w:p w:rsidR="00C92EC4" w:rsidRDefault="00C92EC4" w:rsidP="00C92EC4">
      <w:pPr>
        <w:spacing w:line="0" w:lineRule="atLeast"/>
        <w:ind w:left="1620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ZËVENDËSKRYEMINISTËR</w:t>
      </w:r>
    </w:p>
    <w:p w:rsidR="00C92EC4" w:rsidRDefault="00C92EC4" w:rsidP="00C92EC4">
      <w:pPr>
        <w:spacing w:line="9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right="420"/>
        <w:jc w:val="right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Erion Braçe</w:t>
      </w: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  <w:proofErr w:type="gramStart"/>
      <w:r>
        <w:rPr>
          <w:rFonts w:ascii="Garamond" w:eastAsia="Garamond" w:hAnsi="Garamond"/>
          <w:b/>
          <w:sz w:val="22"/>
        </w:rPr>
        <w:lastRenderedPageBreak/>
        <w:t>Lidhja nr.</w:t>
      </w:r>
      <w:proofErr w:type="gramEnd"/>
      <w:r>
        <w:rPr>
          <w:rFonts w:ascii="Garamond" w:eastAsia="Garamond" w:hAnsi="Garamond"/>
          <w:b/>
          <w:sz w:val="22"/>
        </w:rPr>
        <w:t xml:space="preserve"> 1</w:t>
      </w:r>
    </w:p>
    <w:p w:rsidR="00C92EC4" w:rsidRDefault="00C92EC4" w:rsidP="00C92EC4">
      <w:pPr>
        <w:spacing w:line="228" w:lineRule="exact"/>
        <w:rPr>
          <w:rFonts w:ascii="Times New Roman" w:eastAsia="Times New Roman" w:hAnsi="Times New Roman"/>
        </w:rPr>
      </w:pPr>
    </w:p>
    <w:tbl>
      <w:tblPr>
        <w:tblW w:w="0" w:type="auto"/>
        <w:tblInd w:w="1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260"/>
      </w:tblGrid>
      <w:tr w:rsidR="00C92EC4" w:rsidTr="00697A25">
        <w:trPr>
          <w:trHeight w:val="263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64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Kategoria e specialistëve të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102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Masa e pagesës</w:t>
            </w:r>
          </w:p>
        </w:tc>
      </w:tr>
      <w:tr w:rsidR="00C92EC4" w:rsidTr="00697A25">
        <w:trPr>
          <w:trHeight w:val="24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140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jashtëm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2EC4" w:rsidTr="00697A25">
        <w:trPr>
          <w:trHeight w:val="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92EC4" w:rsidTr="00697A25">
        <w:trPr>
          <w:trHeight w:val="24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2" w:lineRule="exact"/>
              <w:ind w:left="4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 mesëm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2" w:lineRule="exact"/>
              <w:ind w:left="38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500 lekë/orë 60-minutëshe</w:t>
            </w:r>
          </w:p>
        </w:tc>
      </w:tr>
      <w:tr w:rsidR="00C92EC4" w:rsidTr="00697A25">
        <w:trPr>
          <w:trHeight w:val="25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4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 mesëm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38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750 lekë/orë 60-minutëshe</w:t>
            </w:r>
          </w:p>
        </w:tc>
      </w:tr>
      <w:tr w:rsidR="00C92EC4" w:rsidTr="00697A25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4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 lartë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38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1050 lekë/orë 60-minutëshe</w:t>
            </w:r>
          </w:p>
        </w:tc>
      </w:tr>
    </w:tbl>
    <w:p w:rsidR="00C92EC4" w:rsidRDefault="00C92EC4" w:rsidP="00C92EC4">
      <w:pPr>
        <w:spacing w:line="246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left="660"/>
        <w:rPr>
          <w:rFonts w:ascii="Garamond" w:eastAsia="Garamond" w:hAnsi="Garamond"/>
          <w:b/>
          <w:sz w:val="22"/>
        </w:rPr>
      </w:pPr>
      <w:proofErr w:type="gramStart"/>
      <w:r>
        <w:rPr>
          <w:rFonts w:ascii="Garamond" w:eastAsia="Garamond" w:hAnsi="Garamond"/>
          <w:b/>
          <w:sz w:val="22"/>
        </w:rPr>
        <w:t>Lidhja nr.</w:t>
      </w:r>
      <w:proofErr w:type="gramEnd"/>
      <w:r>
        <w:rPr>
          <w:rFonts w:ascii="Garamond" w:eastAsia="Garamond" w:hAnsi="Garamond"/>
          <w:b/>
          <w:sz w:val="22"/>
        </w:rPr>
        <w:t xml:space="preserve"> 2</w:t>
      </w:r>
    </w:p>
    <w:p w:rsidR="00C92EC4" w:rsidRDefault="00C92EC4" w:rsidP="00C92EC4">
      <w:pPr>
        <w:spacing w:line="247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left="780" w:right="700" w:firstLine="149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VËLLIMI I KOHËS SË PUNËS SË SPECIALISTËVE QË ANGAZHOHEN NË REALIZIMIN E VEPRIMTARIVE ZHVILLIMORE NË FUSHËN E ARSIMIT DHE FORMIMIT PROFESIONAL</w:t>
      </w:r>
    </w:p>
    <w:p w:rsidR="00C92EC4" w:rsidRDefault="00C92EC4" w:rsidP="00C92EC4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0"/>
        <w:gridCol w:w="3040"/>
      </w:tblGrid>
      <w:tr w:rsidR="00C92EC4" w:rsidTr="00697A25">
        <w:trPr>
          <w:trHeight w:val="257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206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Emërtimi i veprimtarisë zhvillimore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right="990"/>
              <w:jc w:val="right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Orë pune</w:t>
            </w:r>
          </w:p>
        </w:tc>
      </w:tr>
      <w:tr w:rsidR="00C92EC4" w:rsidTr="00697A25">
        <w:trPr>
          <w:trHeight w:val="237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7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I. Hartimi i standardeve të çdo kualifikimi profesional, për çdo nivel të KSHK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2EC4" w:rsidTr="00697A25">
        <w:trPr>
          <w:trHeight w:val="23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a) Për kualifikime të pjesshme (100-800 orë)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72 deri 136</w:t>
            </w:r>
          </w:p>
        </w:tc>
      </w:tr>
      <w:tr w:rsidR="00C92EC4" w:rsidTr="00697A25">
        <w:trPr>
          <w:trHeight w:val="23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b) Për kualifikime me kohëzgjatje 1-vjeçare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192</w:t>
            </w:r>
          </w:p>
        </w:tc>
      </w:tr>
      <w:tr w:rsidR="00C92EC4" w:rsidTr="00697A25">
        <w:trPr>
          <w:trHeight w:val="237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7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b) Për kualifikime me kohëzgjatje 2-vjeçare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7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256</w:t>
            </w:r>
          </w:p>
        </w:tc>
      </w:tr>
      <w:tr w:rsidR="00C92EC4" w:rsidTr="00697A25">
        <w:trPr>
          <w:trHeight w:val="246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6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c) Për kualifikime me kohëzgjatje 3-vjeçare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6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320</w:t>
            </w:r>
          </w:p>
        </w:tc>
      </w:tr>
      <w:tr w:rsidR="00C92EC4" w:rsidTr="00697A25">
        <w:trPr>
          <w:trHeight w:val="252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d) Për kualifikime me kohëzgjatje 4-vjeçare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384</w:t>
            </w:r>
          </w:p>
        </w:tc>
      </w:tr>
      <w:tr w:rsidR="00C92EC4" w:rsidTr="00697A25">
        <w:trPr>
          <w:trHeight w:val="252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II. Hartimi i standardeve të vlerësimit (për një kualifikim)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192 deri 272</w:t>
            </w:r>
          </w:p>
        </w:tc>
      </w:tr>
      <w:tr w:rsidR="00C92EC4" w:rsidTr="00697A25">
        <w:trPr>
          <w:trHeight w:val="252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III. Hartimi i standardit të profesionit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256</w:t>
            </w:r>
          </w:p>
        </w:tc>
      </w:tr>
      <w:tr w:rsidR="00C92EC4" w:rsidTr="00697A25">
        <w:trPr>
          <w:trHeight w:val="243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3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IV. Hartimi i përshkrimit të profesionit/analizës së punës me nivelet përkatëse të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3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56 deri 72</w:t>
            </w:r>
          </w:p>
        </w:tc>
      </w:tr>
      <w:tr w:rsidR="00C92EC4" w:rsidTr="00697A25">
        <w:trPr>
          <w:trHeight w:val="24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kompetencës në Listën Kombëtare të Profesioneve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2EC4" w:rsidTr="00697A25">
        <w:trPr>
          <w:trHeight w:val="245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5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V. Hartimi i përshkruesve të detajuar të niveleve në KSHK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5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168</w:t>
            </w:r>
          </w:p>
        </w:tc>
      </w:tr>
      <w:tr w:rsidR="00C92EC4" w:rsidTr="00697A25">
        <w:trPr>
          <w:trHeight w:val="245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5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VI. Hartimi i kurrikulave kombëtare: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2EC4" w:rsidTr="00697A25">
        <w:trPr>
          <w:trHeight w:val="2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92EC4" w:rsidTr="00697A25">
        <w:trPr>
          <w:trHeight w:val="242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2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a) Për kualifikime me kohëzgjatje 1-vjeçare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2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400</w:t>
            </w:r>
          </w:p>
        </w:tc>
      </w:tr>
      <w:tr w:rsidR="00C92EC4" w:rsidTr="00697A25">
        <w:trPr>
          <w:trHeight w:val="242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2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b) Për kualifikime me kohëzgjatje 2-vjeçare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42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480</w:t>
            </w:r>
          </w:p>
        </w:tc>
      </w:tr>
      <w:tr w:rsidR="00C92EC4" w:rsidTr="00697A25">
        <w:trPr>
          <w:trHeight w:val="67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92EC4" w:rsidTr="00697A25">
        <w:trPr>
          <w:trHeight w:val="237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c) Për kualifikime me kohëzgjatje 3-vjeçare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560</w:t>
            </w:r>
          </w:p>
        </w:tc>
      </w:tr>
      <w:tr w:rsidR="00C92EC4" w:rsidTr="00697A25">
        <w:trPr>
          <w:trHeight w:val="103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92EC4" w:rsidTr="00697A25">
        <w:trPr>
          <w:trHeight w:val="238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d) Për kualifikime me kohëzgjatje 4-vjeçare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8" w:lineRule="exac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640</w:t>
            </w:r>
          </w:p>
        </w:tc>
      </w:tr>
      <w:tr w:rsidR="00C92EC4" w:rsidTr="00697A25">
        <w:trPr>
          <w:trHeight w:val="103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92EC4" w:rsidTr="00697A25">
        <w:trPr>
          <w:trHeight w:val="236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36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VII. Hartimi i programeve të kurseve të unifikuara të formimit profesional publik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2EC4" w:rsidTr="00697A25">
        <w:trPr>
          <w:trHeight w:val="24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(për kurset afatshkurtra me kohëzgjatje deri 800 orë mësimore)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2EC4" w:rsidTr="00697A25">
        <w:trPr>
          <w:trHeight w:val="271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70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a) Për kurse 100 </w:t>
            </w:r>
            <w:r>
              <w:rPr>
                <w:rFonts w:ascii="Symbol" w:eastAsia="Symbol" w:hAnsi="Symbol"/>
                <w:sz w:val="22"/>
              </w:rPr>
              <w:t></w:t>
            </w:r>
            <w:r>
              <w:rPr>
                <w:rFonts w:ascii="Garamond" w:eastAsia="Garamond" w:hAnsi="Garamond"/>
                <w:sz w:val="22"/>
              </w:rPr>
              <w:t>300 orë mësimore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48 deri 96</w:t>
            </w:r>
          </w:p>
        </w:tc>
      </w:tr>
      <w:tr w:rsidR="00C92EC4" w:rsidTr="00697A25">
        <w:trPr>
          <w:trHeight w:val="69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92EC4" w:rsidTr="00697A25">
        <w:trPr>
          <w:trHeight w:val="271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70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b) Për kurse 300 </w:t>
            </w:r>
            <w:r>
              <w:rPr>
                <w:rFonts w:ascii="Symbol" w:eastAsia="Symbol" w:hAnsi="Symbol"/>
                <w:sz w:val="22"/>
              </w:rPr>
              <w:t></w:t>
            </w:r>
            <w:r>
              <w:rPr>
                <w:rFonts w:ascii="Garamond" w:eastAsia="Garamond" w:hAnsi="Garamond"/>
                <w:sz w:val="22"/>
              </w:rPr>
              <w:t>500 orë mësimore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96 deri 144</w:t>
            </w:r>
          </w:p>
        </w:tc>
      </w:tr>
      <w:tr w:rsidR="00C92EC4" w:rsidTr="00697A25">
        <w:trPr>
          <w:trHeight w:val="69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92EC4" w:rsidTr="00697A25">
        <w:trPr>
          <w:trHeight w:val="271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270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c) Për kurse 500 </w:t>
            </w:r>
            <w:r>
              <w:rPr>
                <w:rFonts w:ascii="Symbol" w:eastAsia="Symbol" w:hAnsi="Symbol"/>
                <w:sz w:val="22"/>
              </w:rPr>
              <w:t></w:t>
            </w:r>
            <w:r>
              <w:rPr>
                <w:rFonts w:ascii="Garamond" w:eastAsia="Garamond" w:hAnsi="Garamond"/>
                <w:sz w:val="22"/>
              </w:rPr>
              <w:t>800 orë mësimore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ind w:right="1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144 deri 192</w:t>
            </w:r>
          </w:p>
        </w:tc>
      </w:tr>
      <w:tr w:rsidR="00C92EC4" w:rsidTr="00697A25">
        <w:trPr>
          <w:trHeight w:val="115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2EC4" w:rsidRDefault="00C92EC4" w:rsidP="00697A2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C92EC4" w:rsidRDefault="00C92EC4" w:rsidP="00C92EC4">
      <w:pPr>
        <w:spacing w:line="63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ind w:left="380"/>
        <w:rPr>
          <w:rFonts w:ascii="Garamond" w:eastAsia="Garamond" w:hAnsi="Garamond"/>
          <w:sz w:val="24"/>
        </w:rPr>
        <w:sectPr w:rsidR="00C92EC4" w:rsidSect="00C92EC4">
          <w:pgSz w:w="11900" w:h="16841"/>
          <w:pgMar w:top="832" w:right="706" w:bottom="285" w:left="760" w:header="0" w:footer="0" w:gutter="0"/>
          <w:cols w:space="0" w:equalWidth="0">
            <w:col w:w="10440"/>
          </w:cols>
          <w:docGrid w:linePitch="360"/>
        </w:sectPr>
      </w:pPr>
    </w:p>
    <w:p w:rsidR="00C92EC4" w:rsidRDefault="00C92EC4" w:rsidP="00C92EC4">
      <w:pPr>
        <w:spacing w:line="20" w:lineRule="exact"/>
        <w:rPr>
          <w:rFonts w:ascii="Times New Roman" w:eastAsia="Times New Roman" w:hAnsi="Times New Roman"/>
        </w:rPr>
      </w:pPr>
      <w:bookmarkStart w:id="1" w:name="page15"/>
      <w:bookmarkStart w:id="2" w:name="page12"/>
      <w:bookmarkStart w:id="3" w:name="page13"/>
      <w:bookmarkEnd w:id="1"/>
      <w:bookmarkEnd w:id="2"/>
      <w:bookmarkEnd w:id="3"/>
    </w:p>
    <w:p w:rsidR="00C92EC4" w:rsidRDefault="00C92EC4" w:rsidP="00C92EC4">
      <w:pPr>
        <w:spacing w:line="20" w:lineRule="exact"/>
        <w:rPr>
          <w:rFonts w:ascii="Times New Roman" w:eastAsia="Times New Roman" w:hAnsi="Times New Roman"/>
        </w:rPr>
        <w:sectPr w:rsidR="00C92EC4">
          <w:pgSz w:w="11900" w:h="16841"/>
          <w:pgMar w:top="832" w:right="1026" w:bottom="285" w:left="1020" w:header="0" w:footer="0" w:gutter="0"/>
          <w:cols w:space="0" w:equalWidth="0">
            <w:col w:w="9860"/>
          </w:cols>
          <w:docGrid w:linePitch="360"/>
        </w:sectPr>
      </w:pPr>
    </w:p>
    <w:p w:rsidR="00C92EC4" w:rsidRDefault="00C92EC4" w:rsidP="00C92EC4">
      <w:pPr>
        <w:spacing w:line="266" w:lineRule="exact"/>
        <w:rPr>
          <w:rFonts w:ascii="Times New Roman" w:eastAsia="Times New Roman" w:hAnsi="Times New Roman"/>
        </w:rPr>
      </w:pPr>
    </w:p>
    <w:p w:rsidR="00C92EC4" w:rsidRDefault="00C92EC4" w:rsidP="00C92EC4">
      <w:pPr>
        <w:spacing w:line="0" w:lineRule="atLeast"/>
        <w:rPr>
          <w:rFonts w:ascii="Garamond" w:eastAsia="Garamond" w:hAnsi="Garamond"/>
          <w:sz w:val="24"/>
        </w:rPr>
        <w:sectPr w:rsidR="00C92EC4" w:rsidSect="00C92EC4">
          <w:type w:val="continuous"/>
          <w:pgSz w:w="11900" w:h="16841"/>
          <w:pgMar w:top="832" w:right="1026" w:bottom="285" w:left="1020" w:header="0" w:footer="0" w:gutter="0"/>
          <w:cols w:num="2" w:space="0" w:equalWidth="0">
            <w:col w:w="9008" w:space="2"/>
            <w:col w:w="850"/>
          </w:cols>
          <w:docGrid w:linePitch="360"/>
        </w:sectPr>
      </w:pPr>
      <w:r>
        <w:rPr>
          <w:noProof/>
        </w:rPr>
        <w:drawing>
          <wp:inline distT="0" distB="0" distL="0" distR="0" wp14:anchorId="3585579F" wp14:editId="577F4F6B">
            <wp:extent cx="5705475" cy="779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552" cy="779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C4" w:rsidRDefault="00C92EC4" w:rsidP="00C92EC4">
      <w:pPr>
        <w:spacing w:line="20" w:lineRule="exact"/>
        <w:rPr>
          <w:rFonts w:ascii="Times New Roman" w:eastAsia="Times New Roman" w:hAnsi="Times New Roman"/>
        </w:rPr>
      </w:pPr>
      <w:bookmarkStart w:id="4" w:name="page14"/>
      <w:bookmarkEnd w:id="4"/>
    </w:p>
    <w:p w:rsidR="00C92EC4" w:rsidRDefault="00C92EC4" w:rsidP="00C92EC4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1662336" behindDoc="1" locked="0" layoutInCell="1" allowOverlap="1" wp14:anchorId="3119A4AA" wp14:editId="3FCEE80C">
            <wp:simplePos x="0" y="0"/>
            <wp:positionH relativeFrom="column">
              <wp:posOffset>2972435</wp:posOffset>
            </wp:positionH>
            <wp:positionV relativeFrom="paragraph">
              <wp:posOffset>-5955030</wp:posOffset>
            </wp:positionV>
            <wp:extent cx="318770" cy="4406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5B" w:rsidRDefault="0086195B" w:rsidP="00C92EC4">
      <w:r>
        <w:separator/>
      </w:r>
    </w:p>
  </w:endnote>
  <w:endnote w:type="continuationSeparator" w:id="0">
    <w:p w:rsidR="0086195B" w:rsidRDefault="0086195B" w:rsidP="00C9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5B" w:rsidRDefault="0086195B" w:rsidP="00C92EC4">
      <w:r>
        <w:separator/>
      </w:r>
    </w:p>
  </w:footnote>
  <w:footnote w:type="continuationSeparator" w:id="0">
    <w:p w:rsidR="0086195B" w:rsidRDefault="0086195B" w:rsidP="00C9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6A5F70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7D5E18F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5F3534A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73A1821A"/>
    <w:lvl w:ilvl="0" w:tplc="FFFFFFFF">
      <w:start w:val="1"/>
      <w:numFmt w:val="bullet"/>
      <w:lvlText w:val="-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7DE6771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7"/>
    <w:multiLevelType w:val="hybridMultilevel"/>
    <w:tmpl w:val="555C55B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8"/>
    <w:multiLevelType w:val="hybridMultilevel"/>
    <w:tmpl w:val="3FA62ACA"/>
    <w:lvl w:ilvl="0" w:tplc="FFFFFFFF">
      <w:start w:val="10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9"/>
    <w:multiLevelType w:val="hybridMultilevel"/>
    <w:tmpl w:val="14FCE74E"/>
    <w:lvl w:ilvl="0" w:tplc="FFFFFFFF">
      <w:start w:val="3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A"/>
    <w:multiLevelType w:val="hybridMultilevel"/>
    <w:tmpl w:val="6A3DD3E8"/>
    <w:lvl w:ilvl="0" w:tplc="FFFFFFFF">
      <w:start w:val="1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B"/>
    <w:multiLevelType w:val="hybridMultilevel"/>
    <w:tmpl w:val="71C9129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C"/>
    <w:multiLevelType w:val="hybridMultilevel"/>
    <w:tmpl w:val="09DAF6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D"/>
    <w:multiLevelType w:val="hybridMultilevel"/>
    <w:tmpl w:val="53299938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E"/>
    <w:multiLevelType w:val="hybridMultilevel"/>
    <w:tmpl w:val="1FBFE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F"/>
    <w:multiLevelType w:val="hybridMultilevel"/>
    <w:tmpl w:val="5092CA7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0"/>
    <w:multiLevelType w:val="hybridMultilevel"/>
    <w:tmpl w:val="1D545C4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1"/>
    <w:multiLevelType w:val="hybridMultilevel"/>
    <w:tmpl w:val="59ADEA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C4"/>
    <w:rsid w:val="00813ED9"/>
    <w:rsid w:val="0086195B"/>
    <w:rsid w:val="00C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C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C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EC4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EC4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C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C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EC4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EC4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aida.tiko@gmail.com</cp:lastModifiedBy>
  <cp:revision>1</cp:revision>
  <dcterms:created xsi:type="dcterms:W3CDTF">2020-07-15T13:16:00Z</dcterms:created>
  <dcterms:modified xsi:type="dcterms:W3CDTF">2020-07-15T13:27:00Z</dcterms:modified>
</cp:coreProperties>
</file>