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86A" w:rsidRDefault="000D244C" w:rsidP="00CD606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="0029486A" w:rsidRPr="002948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="0029486A" w:rsidRPr="002948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F068B" w:rsidRDefault="00277CC4" w:rsidP="00CC7EE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DETARI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74BFA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IV </w:t>
                            </w:r>
                            <w:r w:rsidR="00D74BFA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në KSHK</w:t>
                            </w:r>
                            <w:r w:rsidR="002948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876AD5" w:rsidRDefault="00876AD5" w:rsidP="00CC7EE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DF068B" w:rsidRDefault="006114E9" w:rsidP="00CC7EE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hartojë një plan-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që lidhet me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profesionale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pёrkatёse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. 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 w:right="-3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llogaritje të thjeshta ekonomike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profesionale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pёrkatёse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menaxhimin e burimeve njerëzore, materiale dhe financiare në detari.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plotësojë dhe përgatisë dokumentacion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lidhen me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veprimtaritё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profesionale në detari.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zbatoje standardet teknike të sektorit të detarisë.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parimet e etikës dhe komunikimit gjatë veprimtarive profesionale në detari.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kërkesat e konventave dhe marrëveshjeve ndërkombëtare në sektorin e detarisë.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sigurohet për gatishmërinë e mjetit lundrues dhe ekuipazhit për dalje në det;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realizojë hetime të incidenteve detare dhe hartojë raporte.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parimet kryesore dhe normat e kushteve të punësimit dhe jetesës në bord sipas legjislacionit vendas dhe të ILO-s;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right="-16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rregullat 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sinjalistikës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lundrimore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dhe të shmangies së përplasjes e trafikut detar.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teknikat e manovrimit, përfshirë në raste emergjence, kërkim-shpëtimi.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rregullat dhe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standardet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komunikimit detar.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1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teknikat për kërkimin e tufave të peshkut në det.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sekstantin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dhe të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korrigjojë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bus</w:t>
                            </w:r>
                            <w:bookmarkStart w:id="0" w:name="_GoBack"/>
                            <w:bookmarkEnd w:id="0"/>
                            <w:r w:rsidR="00794E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u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llën magnetike.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normat e reagimit sipas kërkesave të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standardit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IMO-s “Për përdorimin e mjeteve të mbijetesës dhe shpëtimit, përjashtuar mjetet e shpejta të shpëtimit” Nr. 1.23.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realizojë punime mirëmbajtëse e riparuese të thjeshta në mjetin e lundrimit.</w:t>
                            </w:r>
                          </w:p>
                          <w:p w:rsidR="00876AD5" w:rsidRPr="00876AD5" w:rsidRDefault="00876AD5" w:rsidP="00876AD5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realizojë një plan të thjeshtë punimesh riparim-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dokimi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;   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 w:right="-30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hartojë dokumentet e krijimit dhe organizimit të një biznesi në detari.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procedurat e blerjes dhe shitjes në ndërmarrjen e zënies së peshkut. 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 w:right="-16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kryejë promocionin e imazhit të biznesit të detarisë.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administrojë dokumentacionin për mjetin e lundrimit dhe për ekuipazhin.  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</w:rPr>
                              <w:t>Të përdorë dhe mirëmbajë veglat, pajisjet dhe materialet e punës.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</w:rPr>
                              <w:t>Të zbatojë rregullat e sigurisë në punë, të ndihmës së shpejtë dhe të mbrojtjes së mjedisit.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</w:rPr>
                              <w:t>Të komunikojë me etikë profesionale.</w:t>
                            </w:r>
                          </w:p>
                          <w:p w:rsidR="00876AD5" w:rsidRPr="00876AD5" w:rsidRDefault="00876AD5" w:rsidP="00876AD5">
                            <w:pPr>
                              <w:numPr>
                                <w:ilvl w:val="0"/>
                                <w:numId w:val="1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</w:rPr>
                              <w:t>Të përdorë mjete di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</w:rPr>
                              <w:t>gj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</w:rPr>
                              <w:t>itale në funksion të veprimtarisë profesionale.</w:t>
                            </w:r>
                          </w:p>
                          <w:p w:rsidR="00CD606F" w:rsidRDefault="00CD606F" w:rsidP="00CD6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277CC4" w:rsidRPr="00CD606F" w:rsidRDefault="000D244C" w:rsidP="00CD6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D60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CC7EE4" w:rsidRPr="00876AD5" w:rsidRDefault="00CC7EE4" w:rsidP="00CC7EE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profesional “Detari”, niveli IV në KSHK, e pajis individin Certifikatën Profesionale të nivelit dhe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përkatës, të teknik/menaxherit në këtë kualifikim profesional, të cilat njihen në territorin e Republikës së Shqipërisë.</w:t>
                            </w:r>
                          </w:p>
                          <w:p w:rsidR="00CC7EE4" w:rsidRPr="00876AD5" w:rsidRDefault="00CC7EE4" w:rsidP="00CC7EE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Ky kualifikim i jep individit mundësinë që t`i drejtohet tregut të punës për t’u punësuar në një:</w:t>
                            </w:r>
                          </w:p>
                          <w:p w:rsidR="00CC7EE4" w:rsidRPr="00876AD5" w:rsidRDefault="00CC7EE4" w:rsidP="00CD6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mjet lundrimi për qëllime tregtare;</w:t>
                            </w:r>
                          </w:p>
                          <w:p w:rsidR="00CC7EE4" w:rsidRPr="00876AD5" w:rsidRDefault="00CC7EE4" w:rsidP="00CD6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mjet lundrimi mbi 24 m gjatësi për qëllime peshkimi;</w:t>
                            </w:r>
                          </w:p>
                          <w:p w:rsidR="00CC7EE4" w:rsidRPr="00876AD5" w:rsidRDefault="00CC7EE4" w:rsidP="00CD6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mjet lundrimi të shërbimit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portual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CC7EE4" w:rsidRPr="00876AD5" w:rsidRDefault="00CC7EE4" w:rsidP="00CD6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mjet lundrimi bregdetar të agjencive të zbatimit të ligjit në det;</w:t>
                            </w:r>
                          </w:p>
                          <w:p w:rsidR="00CC7EE4" w:rsidRPr="00876AD5" w:rsidRDefault="00CC7EE4" w:rsidP="00CD6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mjet lundrimi për qëllime kënaqësie të lundrimit bregdetar;</w:t>
                            </w:r>
                          </w:p>
                          <w:p w:rsidR="00CC7EE4" w:rsidRPr="00876AD5" w:rsidRDefault="00CC7EE4" w:rsidP="00CD6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mjet lundrimi bregdetar për qëllime kërkimore-shkencore;</w:t>
                            </w:r>
                          </w:p>
                          <w:p w:rsidR="00CC7EE4" w:rsidRPr="00876AD5" w:rsidRDefault="00CC7EE4" w:rsidP="00CD606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shoqëri menaxhimi mjetesh lundruese për qëllime tregtare ose peshkim;</w:t>
                            </w:r>
                          </w:p>
                          <w:p w:rsidR="00CD606F" w:rsidRPr="00876AD5" w:rsidRDefault="00CC7EE4" w:rsidP="00CD6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arsimimit në Kualifikimin profesional</w:t>
                            </w:r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“Detari”, niveli i IV në KSHK,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ai/ajo fiton të drejtën e diplomës së “Maturës Shtetëro</w:t>
                            </w:r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 Profesionale” me mundësi për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vazhdimin e studimeve pas të mesme dhe universitare, si d</w:t>
                            </w:r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he mbas një përvoje pune në det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anijet dhe në sektorin përkatës, jo më pak se dymbëdhje</w:t>
                            </w:r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(12) muaj, individi fiton të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drejtën për t’u pajisur nga Administrata Detare Certifikatën e kualifikimit si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zv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 Kapi</w:t>
                            </w:r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ten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anije Peshkimi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Rreg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 II/4 dhe/ose mekanik Shërbimi n</w:t>
                            </w:r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ë anije peshkimi Rr. II/5 sipas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Konventës Ndërkombëtare të STCWF-’951 dhe/ose Mar</w:t>
                            </w:r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inar Kuverte </w:t>
                            </w:r>
                            <w:proofErr w:type="spellStart"/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Rreg</w:t>
                            </w:r>
                            <w:proofErr w:type="spellEnd"/>
                            <w:r w:rsidR="00CD606F"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II/5 dhe/ose </w:t>
                            </w:r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Motorist </w:t>
                            </w:r>
                            <w:proofErr w:type="spellStart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Rreg</w:t>
                            </w:r>
                            <w:proofErr w:type="spellEnd"/>
                            <w:r w:rsidRPr="00876A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 III/5 sipas Konventës Ndërkombëtare të STCW’782 e ndryshuar.</w:t>
                            </w:r>
                          </w:p>
                          <w:p w:rsidR="00CD606F" w:rsidRDefault="00CD606F" w:rsidP="00CD6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876AD5" w:rsidRDefault="00876AD5" w:rsidP="00CD6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876AD5" w:rsidRDefault="00876AD5" w:rsidP="00CD6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CD606F" w:rsidRDefault="004D7C4A" w:rsidP="00CD606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277CC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277CC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277CC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29486A" w:rsidRDefault="000D244C" w:rsidP="00CD606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  <w:proofErr w:type="spellStart"/>
                      <w:r w:rsidR="0029486A" w:rsidRPr="002948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="0029486A" w:rsidRPr="002948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F068B" w:rsidRDefault="00277CC4" w:rsidP="00CC7EE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DETARI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D74BFA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IV </w:t>
                      </w:r>
                      <w:r w:rsidR="00D74BFA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në KSHK</w:t>
                      </w:r>
                      <w:r w:rsidR="002948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876AD5" w:rsidRDefault="00876AD5" w:rsidP="00CC7EE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252C3" w:rsidRPr="00DF068B" w:rsidRDefault="006114E9" w:rsidP="00CC7EE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hartojë një plan-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që lidhet me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veprimtaritё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profesionale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pёrkatёse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. 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 w:right="-305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kryejё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llogaritje të thjeshta ekonomike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qё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veprimtaritё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profesionale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pёrkatёse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menaxhimin e burimeve njerëzore, materiale dhe financiare në detari.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plotësojë dhe përgatisë dokumentacion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qё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lidhen me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veprimtaritё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profesionale në detari.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zbatoje standardet teknike të sektorit të detarisë.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parimet e etikës dhe komunikimit gjatë veprimtarive profesionale në detari.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kërkesat e konventave dhe marrëveshjeve ndërkombëtare në sektorin e detarisë.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sigurohet për gatishmërinë e mjetit lundrues dhe ekuipazhit për dalje në det;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realizojë hetime të incidenteve detare dhe hartojë raporte.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parimet kryesore dhe normat e kushteve të punësimit dhe jetesës në bord sipas legjislacionit vendas dhe të ILO-s;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1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right="-16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rregullat 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sinjalistikës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lundrimore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dhe të shmangies së përplasjes e trafikut detar.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1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teknikat e manovrimit, përfshirë në raste emergjence, kërkim-shpëtimi.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1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rregullat dhe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standardet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komunikimit detar.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1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teknikat për kërkimin e tufave të peshkut në det.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sekstantin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dhe të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korrigjojë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bus</w:t>
                      </w:r>
                      <w:bookmarkStart w:id="1" w:name="_GoBack"/>
                      <w:bookmarkEnd w:id="1"/>
                      <w:r w:rsidR="00794E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u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llën magnetike.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normat e reagimit sipas kërkesave të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standardit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IMO-s “Për përdorimin e mjeteve të mbijetesës dhe shpëtimit, përjashtuar mjetet e shpejta të shpëtimit” Nr. 1.23.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realizojë punime mirëmbajtëse e riparuese të thjeshta në mjetin e lundrimit.</w:t>
                      </w:r>
                    </w:p>
                    <w:p w:rsidR="00876AD5" w:rsidRPr="00876AD5" w:rsidRDefault="00876AD5" w:rsidP="00876AD5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realizojë një plan të thjeshtë punimesh riparim-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dokimi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;   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 w:right="-305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hartojë dokumentet e krijimit dhe organizimit të një biznesi në detari.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procedurat e blerjes dhe shitjes në ndërmarrjen e zënies së peshkut. 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 w:right="-16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kryejë promocionin e imazhit të biznesit të detarisë.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administrojë dokumentacionin për mjetin e lundrimit dhe për ekuipazhin.  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</w:rPr>
                        <w:t>Të përdorë dhe mirëmbajë veglat, pajisjet dhe materialet e punës.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</w:rPr>
                        <w:t>Të zbatojë rregullat e sigurisë në punë, të ndihmës së shpejtë dhe të mbrojtjes së mjedisit.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</w:rPr>
                        <w:t>Të komunikojë me etikë profesionale.</w:t>
                      </w:r>
                    </w:p>
                    <w:p w:rsidR="00876AD5" w:rsidRPr="00876AD5" w:rsidRDefault="00876AD5" w:rsidP="00876AD5">
                      <w:pPr>
                        <w:numPr>
                          <w:ilvl w:val="0"/>
                          <w:numId w:val="1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</w:rPr>
                        <w:t>Të përdorë mjete di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</w:rPr>
                        <w:t>gj</w:t>
                      </w:r>
                      <w:r w:rsidRPr="00876AD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</w:rPr>
                        <w:t>itale në funksion të veprimtarisë profesionale.</w:t>
                      </w:r>
                    </w:p>
                    <w:p w:rsidR="00CD606F" w:rsidRDefault="00CD606F" w:rsidP="00CD6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277CC4" w:rsidRPr="00CD606F" w:rsidRDefault="000D244C" w:rsidP="00CD6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CD606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CC7EE4" w:rsidRPr="00876AD5" w:rsidRDefault="00CC7EE4" w:rsidP="00CC7EE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kualifikimit profesional “Detari”, niveli IV në KSHK, e pajis individin Certifikatën Profesionale të nivelit dhe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përkatës, të teknik/menaxherit në këtë kualifikim profesional, të cilat njihen në territorin e Republikës së Shqipërisë.</w:t>
                      </w:r>
                    </w:p>
                    <w:p w:rsidR="00CC7EE4" w:rsidRPr="00876AD5" w:rsidRDefault="00CC7EE4" w:rsidP="00CC7EE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Ky kualifikim i jep individit mundësinë që t`i drejtohet tregut të punës për t’u punësuar në një:</w:t>
                      </w:r>
                    </w:p>
                    <w:p w:rsidR="00CC7EE4" w:rsidRPr="00876AD5" w:rsidRDefault="00CC7EE4" w:rsidP="00CD6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mjet lundrimi për qëllime tregtare;</w:t>
                      </w:r>
                    </w:p>
                    <w:p w:rsidR="00CC7EE4" w:rsidRPr="00876AD5" w:rsidRDefault="00CC7EE4" w:rsidP="00CD6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mjet lundrimi mbi 24 m gjatësi për qëllime peshkimi;</w:t>
                      </w:r>
                    </w:p>
                    <w:p w:rsidR="00CC7EE4" w:rsidRPr="00876AD5" w:rsidRDefault="00CC7EE4" w:rsidP="00CD6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mjet lundrimi të shërbimit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portual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;</w:t>
                      </w:r>
                    </w:p>
                    <w:p w:rsidR="00CC7EE4" w:rsidRPr="00876AD5" w:rsidRDefault="00CC7EE4" w:rsidP="00CD6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mjet lundrimi bregdetar të agjencive të zbatimit të ligjit në det;</w:t>
                      </w:r>
                    </w:p>
                    <w:p w:rsidR="00CC7EE4" w:rsidRPr="00876AD5" w:rsidRDefault="00CC7EE4" w:rsidP="00CD6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mjet lundrimi për qëllime kënaqësie të lundrimit bregdetar;</w:t>
                      </w:r>
                    </w:p>
                    <w:p w:rsidR="00CC7EE4" w:rsidRPr="00876AD5" w:rsidRDefault="00CC7EE4" w:rsidP="00CD6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mjet lundrimi bregdetar për qëllime kërkimore-shkencore;</w:t>
                      </w:r>
                    </w:p>
                    <w:p w:rsidR="00CC7EE4" w:rsidRPr="00876AD5" w:rsidRDefault="00CC7EE4" w:rsidP="00CD606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shoqëri menaxhimi mjetesh lundruese për qëllime tregtare ose peshkim;</w:t>
                      </w:r>
                    </w:p>
                    <w:p w:rsidR="00CD606F" w:rsidRPr="00876AD5" w:rsidRDefault="00CC7EE4" w:rsidP="00CD6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arsimimit në Kualifikimin profesional</w:t>
                      </w:r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“Detari”, niveli i IV në KSHK,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ai/ajo fiton të drejtën e diplomës së “Maturës Shtetëro</w:t>
                      </w:r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 Profesionale” me mundësi për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vazhdimin e studimeve pas të mesme dhe universitare, si d</w:t>
                      </w:r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he mbas një përvoje pune në det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anijet dhe në sektorin përkatës, jo më pak se dymbëdhje</w:t>
                      </w:r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(12) muaj, individi fiton të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drejtën për t’u pajisur nga Administrata Detare Certifikatën e kualifikimit si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zv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 Kapi</w:t>
                      </w:r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ten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anije Peshkimi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Rreg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 II/4 dhe/ose mekanik Shërbimi n</w:t>
                      </w:r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ë anije peshkimi Rr. II/5 sipas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Konventës Ndërkombëtare të STCWF-’951 dhe/ose Mar</w:t>
                      </w:r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inar Kuverte </w:t>
                      </w:r>
                      <w:proofErr w:type="spellStart"/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Rreg</w:t>
                      </w:r>
                      <w:proofErr w:type="spellEnd"/>
                      <w:r w:rsidR="00CD606F"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II/5 dhe/ose </w:t>
                      </w:r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Motorist </w:t>
                      </w:r>
                      <w:proofErr w:type="spellStart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Rreg</w:t>
                      </w:r>
                      <w:proofErr w:type="spellEnd"/>
                      <w:r w:rsidRPr="00876AD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 III/5 sipas Konventës Ndërkombëtare të STCW’782 e ndryshuar.</w:t>
                      </w:r>
                    </w:p>
                    <w:p w:rsidR="00CD606F" w:rsidRDefault="00CD606F" w:rsidP="00CD6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876AD5" w:rsidRDefault="00876AD5" w:rsidP="00CD6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876AD5" w:rsidRDefault="00876AD5" w:rsidP="00CD6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CD606F" w:rsidRDefault="004D7C4A" w:rsidP="00CD606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2"/>
                          <w:lang w:val="sq-AL"/>
                          <w14:ligatures w14:val="none"/>
                        </w:rPr>
                      </w:pPr>
                      <w:r w:rsidRPr="00277CC4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277CC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277CC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C3E7A"/>
    <w:multiLevelType w:val="hybridMultilevel"/>
    <w:tmpl w:val="B40CE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22008E"/>
    <w:multiLevelType w:val="hybridMultilevel"/>
    <w:tmpl w:val="D43206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E7F"/>
    <w:multiLevelType w:val="hybridMultilevel"/>
    <w:tmpl w:val="85DE2E3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74515"/>
    <w:multiLevelType w:val="hybridMultilevel"/>
    <w:tmpl w:val="F48AF378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3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735BD"/>
    <w:multiLevelType w:val="hybridMultilevel"/>
    <w:tmpl w:val="9F168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45E0B"/>
    <w:multiLevelType w:val="hybridMultilevel"/>
    <w:tmpl w:val="0DD8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B22C3"/>
    <w:multiLevelType w:val="hybridMultilevel"/>
    <w:tmpl w:val="F9E8F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31A79"/>
    <w:multiLevelType w:val="hybridMultilevel"/>
    <w:tmpl w:val="59EE8E8C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15"/>
  </w:num>
  <w:num w:numId="13">
    <w:abstractNumId w:val="6"/>
  </w:num>
  <w:num w:numId="14">
    <w:abstractNumId w:val="14"/>
  </w:num>
  <w:num w:numId="15">
    <w:abstractNumId w:val="17"/>
  </w:num>
  <w:num w:numId="16">
    <w:abstractNumId w:val="1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77CC4"/>
    <w:rsid w:val="002914F5"/>
    <w:rsid w:val="0029486A"/>
    <w:rsid w:val="002A7A89"/>
    <w:rsid w:val="003B618D"/>
    <w:rsid w:val="004A1113"/>
    <w:rsid w:val="004D7C4A"/>
    <w:rsid w:val="006114E9"/>
    <w:rsid w:val="006D7FDF"/>
    <w:rsid w:val="00794E10"/>
    <w:rsid w:val="00820A5D"/>
    <w:rsid w:val="00876AD5"/>
    <w:rsid w:val="009221EA"/>
    <w:rsid w:val="00A00219"/>
    <w:rsid w:val="00A252C3"/>
    <w:rsid w:val="00BC4559"/>
    <w:rsid w:val="00C827CD"/>
    <w:rsid w:val="00CB4C93"/>
    <w:rsid w:val="00CC7EE4"/>
    <w:rsid w:val="00CD606F"/>
    <w:rsid w:val="00D035D2"/>
    <w:rsid w:val="00D74BFA"/>
    <w:rsid w:val="00DD219B"/>
    <w:rsid w:val="00DF068B"/>
    <w:rsid w:val="00E115CD"/>
    <w:rsid w:val="00E576EF"/>
    <w:rsid w:val="00ED5D0B"/>
    <w:rsid w:val="00EE69CB"/>
    <w:rsid w:val="00F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ACDF-91EC-4967-991D-31948F12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5</cp:revision>
  <cp:lastPrinted>2019-07-02T14:24:00Z</cp:lastPrinted>
  <dcterms:created xsi:type="dcterms:W3CDTF">2024-04-17T06:44:00Z</dcterms:created>
  <dcterms:modified xsi:type="dcterms:W3CDTF">2024-04-29T06:54:00Z</dcterms:modified>
</cp:coreProperties>
</file>