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79" w:rsidRPr="00741241" w:rsidRDefault="00E85B79" w:rsidP="008A4F3A">
      <w:pPr>
        <w:spacing w:after="0" w:line="276" w:lineRule="auto"/>
        <w:contextualSpacing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741241">
        <w:rPr>
          <w:noProof/>
        </w:rPr>
        <w:drawing>
          <wp:anchor distT="0" distB="0" distL="114300" distR="114300" simplePos="0" relativeHeight="251659264" behindDoc="0" locked="0" layoutInCell="1" allowOverlap="1" wp14:anchorId="0D0DA19D" wp14:editId="5EFDCAD7">
            <wp:simplePos x="0" y="0"/>
            <wp:positionH relativeFrom="column">
              <wp:posOffset>561975</wp:posOffset>
            </wp:positionH>
            <wp:positionV relativeFrom="paragraph">
              <wp:posOffset>254000</wp:posOffset>
            </wp:positionV>
            <wp:extent cx="5392420" cy="8534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4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241">
        <w:rPr>
          <w:noProof/>
        </w:rPr>
        <w:drawing>
          <wp:anchor distT="0" distB="0" distL="114300" distR="114300" simplePos="0" relativeHeight="251660288" behindDoc="0" locked="0" layoutInCell="1" allowOverlap="1" wp14:anchorId="495B8CE5" wp14:editId="58391185">
            <wp:simplePos x="0" y="0"/>
            <wp:positionH relativeFrom="column">
              <wp:posOffset>-570865</wp:posOffset>
            </wp:positionH>
            <wp:positionV relativeFrom="paragraph">
              <wp:posOffset>-347980</wp:posOffset>
            </wp:positionV>
            <wp:extent cx="1038225" cy="175577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B79" w:rsidRPr="00741241" w:rsidRDefault="00E85B79" w:rsidP="008A4F3A">
      <w:pPr>
        <w:spacing w:after="0" w:line="276" w:lineRule="auto"/>
        <w:ind w:firstLine="720"/>
        <w:contextualSpacing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741241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</w:t>
      </w:r>
      <w:r w:rsidRPr="00741241">
        <w:rPr>
          <w:rFonts w:ascii="Times New Roman" w:eastAsia="Times New Roman" w:hAnsi="Times New Roman"/>
          <w:b/>
          <w:sz w:val="24"/>
          <w:szCs w:val="24"/>
          <w:lang w:val="sq-AL"/>
        </w:rPr>
        <w:tab/>
      </w:r>
      <w:r w:rsidRPr="00741241">
        <w:rPr>
          <w:rFonts w:ascii="Times New Roman" w:eastAsia="Times New Roman" w:hAnsi="Times New Roman"/>
          <w:b/>
          <w:sz w:val="24"/>
          <w:szCs w:val="24"/>
          <w:lang w:val="sq-AL"/>
        </w:rPr>
        <w:tab/>
        <w:t xml:space="preserve">      REPUBLIKA E SHQIPËRISË</w:t>
      </w:r>
    </w:p>
    <w:p w:rsidR="00E85B79" w:rsidRPr="00741241" w:rsidRDefault="00E85B79" w:rsidP="008A4F3A">
      <w:pPr>
        <w:tabs>
          <w:tab w:val="left" w:pos="3732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741241">
        <w:rPr>
          <w:rFonts w:ascii="Times New Roman" w:hAnsi="Times New Roman"/>
          <w:b/>
          <w:sz w:val="24"/>
          <w:szCs w:val="24"/>
          <w:lang w:val="sq-AL"/>
        </w:rPr>
        <w:t>MINISTRIA E EKONOMISË, KULTURËS DHE INOVACIONIT</w:t>
      </w:r>
    </w:p>
    <w:p w:rsidR="00E85B79" w:rsidRPr="00741241" w:rsidRDefault="00E85B79" w:rsidP="008A4F3A">
      <w:pPr>
        <w:spacing w:after="0" w:line="276" w:lineRule="auto"/>
        <w:jc w:val="center"/>
        <w:rPr>
          <w:rFonts w:ascii="Times New Roman" w:hAnsi="Times New Roman"/>
          <w:b/>
          <w:caps/>
          <w:lang w:val="sq-AL"/>
        </w:rPr>
      </w:pPr>
      <w:r w:rsidRPr="00741241">
        <w:rPr>
          <w:rFonts w:ascii="Times New Roman" w:hAnsi="Times New Roman"/>
          <w:b/>
          <w:caps/>
          <w:lang w:val="sq-AL"/>
        </w:rPr>
        <w:t>AGJENCIA KOMBËTARE E ARSIMIT, FORMIMIT PROFESIONAL DHE KUALIFIKIMEVE</w:t>
      </w:r>
    </w:p>
    <w:p w:rsidR="00E85B79" w:rsidRPr="00741241" w:rsidRDefault="00E85B79" w:rsidP="008A4F3A">
      <w:pPr>
        <w:shd w:val="clear" w:color="auto" w:fill="FFFFFF" w:themeFill="background1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4A38C5" w:rsidRPr="00741241" w:rsidRDefault="004A38C5" w:rsidP="008A4F3A">
      <w:pPr>
        <w:shd w:val="clear" w:color="auto" w:fill="FFFFFF" w:themeFill="background1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4A38C5" w:rsidRPr="00741241" w:rsidRDefault="004A38C5" w:rsidP="008A4F3A">
      <w:pPr>
        <w:shd w:val="clear" w:color="auto" w:fill="FFFFFF" w:themeFill="background1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4A38C5" w:rsidRPr="00741241" w:rsidRDefault="004A38C5" w:rsidP="008A4F3A">
      <w:pPr>
        <w:shd w:val="clear" w:color="auto" w:fill="FFFFFF" w:themeFill="background1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4A38C5" w:rsidRPr="00741241" w:rsidRDefault="004A38C5" w:rsidP="008A4F3A">
      <w:pPr>
        <w:shd w:val="clear" w:color="auto" w:fill="FFFFFF" w:themeFill="background1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4A38C5" w:rsidRPr="00741241" w:rsidRDefault="004A38C5" w:rsidP="008A4F3A">
      <w:pPr>
        <w:shd w:val="clear" w:color="auto" w:fill="FFFFFF" w:themeFill="background1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4A38C5" w:rsidRPr="00741241" w:rsidRDefault="004A38C5" w:rsidP="008A4F3A">
      <w:pPr>
        <w:shd w:val="clear" w:color="auto" w:fill="FFFFFF" w:themeFill="background1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4249E0" w:rsidRDefault="004249E0" w:rsidP="00627A05">
      <w:pPr>
        <w:shd w:val="clear" w:color="auto" w:fill="FFFFFF" w:themeFill="background1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741241">
        <w:rPr>
          <w:rFonts w:ascii="Times New Roman" w:eastAsia="Calibri" w:hAnsi="Times New Roman" w:cs="Times New Roman"/>
          <w:b/>
          <w:sz w:val="24"/>
          <w:szCs w:val="24"/>
          <w:lang w:val="sq-AL"/>
        </w:rPr>
        <w:t>RAPORTI PËRMBLEDHËS I AKREDITIMIT</w:t>
      </w:r>
    </w:p>
    <w:p w:rsidR="00627A05" w:rsidRPr="00741241" w:rsidRDefault="00627A05" w:rsidP="00627A05">
      <w:pPr>
        <w:shd w:val="clear" w:color="auto" w:fill="FFFFFF" w:themeFill="background1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627A05" w:rsidRDefault="00BA5873" w:rsidP="00627A05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  <w:r w:rsidRPr="0074124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q-AL"/>
        </w:rPr>
        <w:t>P</w:t>
      </w:r>
      <w:r w:rsidRPr="00741241"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  <w:t xml:space="preserve">ËR SHKOLLËN E MESME </w:t>
      </w:r>
      <w:r w:rsidR="009E692C" w:rsidRPr="00741241"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  <w:t xml:space="preserve">PROFESIONALE </w:t>
      </w:r>
    </w:p>
    <w:p w:rsidR="00BA5873" w:rsidRPr="00741241" w:rsidRDefault="009E692C" w:rsidP="00627A05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  <w:r w:rsidRPr="00741241"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  <w:t>“CHARLES TELFORD ERICKSON”, GOLEM-KAVAJË</w:t>
      </w:r>
    </w:p>
    <w:p w:rsidR="00BA5873" w:rsidRPr="00741241" w:rsidRDefault="00BA5873" w:rsidP="00627A05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</w:p>
    <w:p w:rsidR="004249E0" w:rsidRPr="00741241" w:rsidRDefault="004249E0" w:rsidP="00627A05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</w:p>
    <w:p w:rsidR="004A38C5" w:rsidRPr="00741241" w:rsidRDefault="004A38C5" w:rsidP="008A4F3A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</w:p>
    <w:p w:rsidR="004A38C5" w:rsidRPr="00741241" w:rsidRDefault="004A38C5" w:rsidP="008A4F3A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</w:p>
    <w:p w:rsidR="004A38C5" w:rsidRPr="00741241" w:rsidRDefault="004A38C5" w:rsidP="008A4F3A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</w:p>
    <w:p w:rsidR="004A38C5" w:rsidRPr="00741241" w:rsidRDefault="004A38C5" w:rsidP="008A4F3A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</w:p>
    <w:p w:rsidR="004A38C5" w:rsidRPr="00741241" w:rsidRDefault="004A38C5" w:rsidP="008A4F3A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</w:p>
    <w:p w:rsidR="004A38C5" w:rsidRPr="00741241" w:rsidRDefault="004A38C5" w:rsidP="008A4F3A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</w:p>
    <w:p w:rsidR="004A38C5" w:rsidRPr="00741241" w:rsidRDefault="004A38C5" w:rsidP="008A4F3A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</w:p>
    <w:p w:rsidR="004A38C5" w:rsidRPr="00741241" w:rsidRDefault="004A38C5" w:rsidP="008A4F3A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</w:p>
    <w:p w:rsidR="004A38C5" w:rsidRPr="00741241" w:rsidRDefault="004A38C5" w:rsidP="008A4F3A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</w:p>
    <w:p w:rsidR="004A38C5" w:rsidRPr="00741241" w:rsidRDefault="004A38C5" w:rsidP="008A4F3A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</w:p>
    <w:p w:rsidR="004A38C5" w:rsidRPr="00741241" w:rsidRDefault="004A38C5" w:rsidP="008A4F3A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</w:p>
    <w:p w:rsidR="004A38C5" w:rsidRPr="00741241" w:rsidRDefault="004A38C5" w:rsidP="008A4F3A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</w:p>
    <w:p w:rsidR="004A38C5" w:rsidRPr="00741241" w:rsidRDefault="004A38C5" w:rsidP="008A4F3A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</w:p>
    <w:p w:rsidR="00741241" w:rsidRPr="00741241" w:rsidRDefault="00741241" w:rsidP="008A4F3A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</w:p>
    <w:p w:rsidR="004A38C5" w:rsidRPr="00741241" w:rsidRDefault="0007733D" w:rsidP="008A4F3A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  <w:r w:rsidRPr="00741241"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  <w:t>QERSHOR</w:t>
      </w:r>
      <w:r w:rsidR="004A38C5" w:rsidRPr="00741241"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  <w:t xml:space="preserve"> 2024</w:t>
      </w:r>
    </w:p>
    <w:p w:rsidR="004249E0" w:rsidRPr="00741241" w:rsidRDefault="004249E0" w:rsidP="008A4F3A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lastRenderedPageBreak/>
        <w:t>BAZA LIGJORE</w:t>
      </w:r>
    </w:p>
    <w:p w:rsidR="004249E0" w:rsidRPr="00741241" w:rsidRDefault="004249E0" w:rsidP="008A4F3A">
      <w:p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4249E0" w:rsidRPr="00741241" w:rsidRDefault="004249E0" w:rsidP="008A4F3A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41241">
        <w:rPr>
          <w:rFonts w:ascii="Times New Roman" w:eastAsia="Calibri" w:hAnsi="Times New Roman" w:cs="Times New Roman"/>
          <w:sz w:val="24"/>
          <w:szCs w:val="24"/>
          <w:lang w:val="sq-AL"/>
        </w:rPr>
        <w:t>Procesi i Akreditimit për ofruesit e arsimit dhe formimit profesional, ka filluar për herë të parë në Shqipëri, mbështetur në Ligjin Nr. 15-2017 datë 16.02.2017 “</w:t>
      </w:r>
      <w:r w:rsidRPr="00741241">
        <w:rPr>
          <w:rFonts w:ascii="Times New Roman" w:eastAsia="Calibri" w:hAnsi="Times New Roman" w:cs="Times New Roman"/>
          <w:i/>
          <w:sz w:val="24"/>
          <w:szCs w:val="24"/>
          <w:lang w:val="sq-AL"/>
        </w:rPr>
        <w:t>Për Arsimin dhe Formimin Profesional në Republikën e Shqipërisë”</w:t>
      </w: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741241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i ndryshuar, </w:t>
      </w: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Urdhrin nr. 128, datë 6.7.2021 për miratimin e </w:t>
      </w:r>
      <w:r w:rsidRPr="00741241">
        <w:rPr>
          <w:rFonts w:ascii="Times New Roman" w:eastAsia="Calibri" w:hAnsi="Times New Roman" w:cs="Times New Roman"/>
          <w:sz w:val="24"/>
          <w:szCs w:val="24"/>
          <w:lang w:val="sq-AL"/>
        </w:rPr>
        <w:t>“</w:t>
      </w:r>
      <w:r w:rsidRPr="00741241">
        <w:rPr>
          <w:rFonts w:ascii="Times New Roman" w:eastAsia="Calibri" w:hAnsi="Times New Roman" w:cs="Times New Roman"/>
          <w:i/>
          <w:sz w:val="24"/>
          <w:szCs w:val="24"/>
          <w:lang w:val="sq-AL"/>
        </w:rPr>
        <w:t>Rregullores për Standardet, kriteret dhe procedurat e akreditimit të ofruesve të arsimit dhe formimit Profesional</w:t>
      </w:r>
      <w:r w:rsidRPr="00741241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” </w:t>
      </w: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Ministrisë së Financave dhe Ekonomisë (MFE), në rregulloren e brendshme </w:t>
      </w:r>
      <w:r w:rsidRPr="00741241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për organizimin dhe funksionimin e Agjencisë Kombëtare të Arsimit, Formimit Profesional dhe Kualifikimeve</w:t>
      </w:r>
      <w:r w:rsidRPr="00741241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në </w:t>
      </w:r>
      <w:r w:rsidRPr="007412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urdhrin e brendshëm të AKAFPK-së me nr. 23, datë 12.05.2023 “</w:t>
      </w:r>
      <w:r w:rsidRPr="0074124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sq-AL"/>
        </w:rPr>
        <w:t>Për miratimin e udhëzuesit për procedurat e përzgjedhjes, organizimit dhe etikës profesionale të specialistëve si vlerësues të jashtëm, si dhe procedurat e brendshme në zbatim të procesit të akreditimit në institucionet ofruese të AFP-së”.</w:t>
      </w:r>
    </w:p>
    <w:p w:rsidR="00BA5873" w:rsidRPr="00741241" w:rsidRDefault="00BA5873" w:rsidP="008A4F3A">
      <w:pPr>
        <w:spacing w:after="0" w:line="276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741241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   </w:t>
      </w:r>
    </w:p>
    <w:p w:rsidR="00BA5873" w:rsidRPr="00741241" w:rsidRDefault="004249E0" w:rsidP="008A4F3A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KONTEKSTI I OFRUESIT</w:t>
      </w:r>
      <w:r w:rsidR="00BA5873" w:rsidRPr="0074124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:</w:t>
      </w:r>
    </w:p>
    <w:p w:rsidR="00982B99" w:rsidRPr="00741241" w:rsidRDefault="00982B99" w:rsidP="008A4F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BA5873" w:rsidRPr="00741241" w:rsidRDefault="00AA4800" w:rsidP="008A4F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Shkolla e Mesme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Profesionale</w:t>
      </w: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“</w:t>
      </w:r>
      <w:proofErr w:type="spellStart"/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Charles</w:t>
      </w:r>
      <w:proofErr w:type="spellEnd"/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Telford</w:t>
      </w:r>
      <w:proofErr w:type="spellEnd"/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Erickson</w:t>
      </w:r>
      <w:proofErr w:type="spellEnd"/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”, i hapi dyer</w:t>
      </w:r>
      <w:r w:rsidR="00BA27D7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25 Gusht 1925. Drejtimet n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to vite kan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qen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agronomi, veterinari, </w:t>
      </w:r>
      <w:r w:rsidR="009C630B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zootekni, drejtime t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C630B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cilat </w:t>
      </w:r>
      <w:r w:rsidR="009C052E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i mb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C052E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shtet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C052E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 nga misionari amerikan </w:t>
      </w:r>
      <w:proofErr w:type="spellStart"/>
      <w:r w:rsidR="009C052E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Charles</w:t>
      </w:r>
      <w:proofErr w:type="spellEnd"/>
      <w:r w:rsidR="009C052E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9C052E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Telford</w:t>
      </w:r>
      <w:proofErr w:type="spellEnd"/>
      <w:r w:rsidR="009C052E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9C052E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Erickson</w:t>
      </w:r>
      <w:proofErr w:type="spellEnd"/>
      <w:r w:rsidR="009C052E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, emrin e t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C052E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cilit mban shkolla q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C052E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nga viti 2012 e n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C052E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vazhdim. 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Këto drejtime u mbështetën në ato vite me </w:t>
      </w:r>
      <w:proofErr w:type="spellStart"/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kurrikula</w:t>
      </w:r>
      <w:proofErr w:type="spellEnd"/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amerikane dhe profesorë amerikane. Gjatë viteve 1945-1990, ishte shkolla më e mirë bujqësore në Shqipëri. Momentalisht, në këtë shkollë ofrohen 5 kualifikime profesionale. Pas k</w:t>
      </w:r>
      <w:r w:rsidR="00FC6017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tyre viteve, shkoll</w:t>
      </w:r>
      <w:r w:rsidR="00FC6017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 iu shtua </w:t>
      </w:r>
      <w:r w:rsidR="00FC6017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drejtimi H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oteleri-turiz</w:t>
      </w:r>
      <w:r w:rsidR="00FC6017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ëm, Mësuesi, dhe E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konomi dhe pati nj</w:t>
      </w:r>
      <w:r w:rsidR="00FC6017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rritje t</w:t>
      </w:r>
      <w:r w:rsidR="00FC6017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theksuar t</w:t>
      </w:r>
      <w:r w:rsidR="00FC6017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nx</w:t>
      </w:r>
      <w:r w:rsidR="00FC6017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="00FC6017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sve n</w:t>
      </w:r>
      <w:r w:rsidR="00FC6017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shkoll</w:t>
      </w:r>
      <w:r w:rsidR="00FC6017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ë si d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he t</w:t>
      </w:r>
      <w:r w:rsidR="00FC6017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atyre q</w:t>
      </w:r>
      <w:r w:rsidR="00FC6017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akomodoheshin n</w:t>
      </w:r>
      <w:r w:rsidR="00FC6017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konvikt. Pas heqjes s</w:t>
      </w:r>
      <w:r w:rsidR="00FC6017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</w:t>
      </w:r>
      <w:r w:rsidR="00FC6017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tyre drejtimeve si dhe heqjes s</w:t>
      </w:r>
      <w:r w:rsidR="00FC6017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administrimit t</w:t>
      </w:r>
      <w:r w:rsidR="00FC6017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konvi</w:t>
      </w:r>
      <w:r w:rsidR="00FC6017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ktit n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ga shkolla t</w:t>
      </w:r>
      <w:r w:rsidR="00FC6017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Bashkia Kavaj</w:t>
      </w:r>
      <w:r w:rsidR="00FC6017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, ra ndjesh</w:t>
      </w:r>
      <w:r w:rsidR="00FC6017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ëm numri i nxë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="00FC6017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sve si n</w:t>
      </w:r>
      <w:r w:rsidR="00FC6017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shkoll</w:t>
      </w:r>
      <w:r w:rsidR="00FC6017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ashtu edhe n</w:t>
      </w:r>
      <w:r w:rsidR="00FC6017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82B99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konvikt. </w:t>
      </w:r>
    </w:p>
    <w:p w:rsidR="00982B99" w:rsidRPr="00741241" w:rsidRDefault="00982B99" w:rsidP="008A4F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Godina është e ndërtuar rishtazi në vitin 2017 duke siguruar kushtet optimale për zhvillimin e një procesi mësimor cilësor. Shkolla është e pajisur m</w:t>
      </w:r>
      <w:r w:rsidR="00FC6017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sistem ngrohjeje duke</w:t>
      </w:r>
      <w:r w:rsidR="00D8225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mundësuar kështu</w:t>
      </w: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një mësim normal gjatë gjithë periudhës. Hapësirat në shkollë janë të mirë ndriçuara dhe të ajrosura. Shkolla është e pajisur me shkallë emergjence, me rampë dhe ashensor e përshtatur për personat me aftësi ndryshe. </w:t>
      </w:r>
    </w:p>
    <w:p w:rsidR="004249E0" w:rsidRPr="00741241" w:rsidRDefault="004249E0" w:rsidP="008A4F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41241">
        <w:rPr>
          <w:rFonts w:ascii="Times New Roman" w:eastAsia="Calibri" w:hAnsi="Times New Roman" w:cs="Times New Roman"/>
          <w:sz w:val="24"/>
          <w:szCs w:val="24"/>
          <w:lang w:val="sq-AL"/>
        </w:rPr>
        <w:t>Shkolla e Mesme Profesionale, “</w:t>
      </w:r>
      <w:proofErr w:type="spellStart"/>
      <w:r w:rsidRPr="00741241">
        <w:rPr>
          <w:rFonts w:ascii="Times New Roman" w:eastAsia="Calibri" w:hAnsi="Times New Roman" w:cs="Times New Roman"/>
          <w:sz w:val="24"/>
          <w:szCs w:val="24"/>
          <w:lang w:val="sq-AL"/>
        </w:rPr>
        <w:t>Charles</w:t>
      </w:r>
      <w:proofErr w:type="spellEnd"/>
      <w:r w:rsidRPr="00741241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741241">
        <w:rPr>
          <w:rFonts w:ascii="Times New Roman" w:eastAsia="Calibri" w:hAnsi="Times New Roman" w:cs="Times New Roman"/>
          <w:sz w:val="24"/>
          <w:szCs w:val="24"/>
          <w:lang w:val="sq-AL"/>
        </w:rPr>
        <w:t>Telford</w:t>
      </w:r>
      <w:proofErr w:type="spellEnd"/>
      <w:r w:rsidRPr="00741241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741241">
        <w:rPr>
          <w:rFonts w:ascii="Times New Roman" w:eastAsia="Calibri" w:hAnsi="Times New Roman" w:cs="Times New Roman"/>
          <w:sz w:val="24"/>
          <w:szCs w:val="24"/>
          <w:lang w:val="sq-AL"/>
        </w:rPr>
        <w:t>Erickson</w:t>
      </w:r>
      <w:proofErr w:type="spellEnd"/>
      <w:r w:rsidRPr="00741241">
        <w:rPr>
          <w:rFonts w:ascii="Times New Roman" w:eastAsia="Calibri" w:hAnsi="Times New Roman" w:cs="Times New Roman"/>
          <w:sz w:val="24"/>
          <w:szCs w:val="24"/>
          <w:lang w:val="sq-AL"/>
        </w:rPr>
        <w:t>”, Golem-Kavajë</w:t>
      </w:r>
      <w:r w:rsidRPr="00741241">
        <w:rPr>
          <w:rFonts w:ascii="Times New Roman" w:hAnsi="Times New Roman" w:cs="Times New Roman"/>
          <w:sz w:val="24"/>
          <w:szCs w:val="24"/>
          <w:lang w:val="sq-AL"/>
        </w:rPr>
        <w:t xml:space="preserve">, aplikoi </w:t>
      </w:r>
      <w:r w:rsidR="00D82255" w:rsidRPr="00741241">
        <w:rPr>
          <w:rFonts w:ascii="Times New Roman" w:hAnsi="Times New Roman" w:cs="Times New Roman"/>
          <w:sz w:val="24"/>
          <w:szCs w:val="24"/>
          <w:lang w:val="sq-AL"/>
        </w:rPr>
        <w:t xml:space="preserve">për akreditim </w:t>
      </w:r>
      <w:r w:rsidRPr="00741241">
        <w:rPr>
          <w:rFonts w:ascii="Times New Roman" w:hAnsi="Times New Roman" w:cs="Times New Roman"/>
          <w:sz w:val="24"/>
          <w:szCs w:val="24"/>
          <w:lang w:val="sq-AL"/>
        </w:rPr>
        <w:t>pranë Agjencisë Kombëtare të Arsimit, Formimit Profesional dhe Kualifikimeve, për kualifikimet profesionale të reja, sipas niveleve përkatëse në KSHK:</w:t>
      </w:r>
    </w:p>
    <w:p w:rsidR="004249E0" w:rsidRPr="00741241" w:rsidRDefault="004249E0" w:rsidP="008A4F3A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4249E0" w:rsidRPr="00741241" w:rsidRDefault="004249E0" w:rsidP="00D822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1. Kualifikimi Profesional “Bujqësi”, Niveli II në KSHK, H-II-22 </w:t>
      </w:r>
    </w:p>
    <w:p w:rsidR="004249E0" w:rsidRPr="00741241" w:rsidRDefault="004249E0" w:rsidP="00D822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2. Kualifikimi Profesional “</w:t>
      </w:r>
      <w:proofErr w:type="spellStart"/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Agroturizëm</w:t>
      </w:r>
      <w:proofErr w:type="spellEnd"/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”, Niveli III në KSHK, H8-III-18 </w:t>
      </w:r>
    </w:p>
    <w:p w:rsidR="004249E0" w:rsidRPr="00741241" w:rsidRDefault="004249E0" w:rsidP="00D822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3. Kualifikimi Profesional “Bujqësi”, Niveli IV në KSHK, H-IV-20 </w:t>
      </w:r>
    </w:p>
    <w:p w:rsidR="004249E0" w:rsidRPr="00741241" w:rsidRDefault="004249E0" w:rsidP="00D822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4. Kualifikimi Profesional “Ekonomi-Biznes”, Niveli II në KSHK, L-II-21 </w:t>
      </w:r>
    </w:p>
    <w:p w:rsidR="004249E0" w:rsidRPr="00741241" w:rsidRDefault="004249E0" w:rsidP="00D822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5. Kualifikimi Profesional “Llogari”, Niveli IV në KSHK, L4-IV-19 </w:t>
      </w:r>
    </w:p>
    <w:p w:rsidR="004249E0" w:rsidRPr="00741241" w:rsidRDefault="004249E0" w:rsidP="00D822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6. Kualifikimi Profesional “Veterinari”, Niveli IV në KSHK, N-IV-21</w:t>
      </w:r>
    </w:p>
    <w:p w:rsidR="00C97F1F" w:rsidRPr="00741241" w:rsidRDefault="00C97F1F" w:rsidP="008A4F3A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lastRenderedPageBreak/>
        <w:t>PËRMBLEDHJA E PROCESIT</w:t>
      </w:r>
    </w:p>
    <w:p w:rsidR="00C97F1F" w:rsidRPr="00741241" w:rsidRDefault="00C97F1F" w:rsidP="008A4F3A">
      <w:pPr>
        <w:shd w:val="clear" w:color="auto" w:fill="FFFFFF" w:themeFill="background1"/>
        <w:spacing w:after="0" w:line="276" w:lineRule="auto"/>
        <w:ind w:left="-18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sq-AL"/>
        </w:rPr>
      </w:pPr>
    </w:p>
    <w:p w:rsidR="00C97F1F" w:rsidRPr="00741241" w:rsidRDefault="00C97F1F" w:rsidP="008A4F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q-AL"/>
        </w:rPr>
      </w:pP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Ofruesi publik </w:t>
      </w:r>
      <w:r w:rsidR="00C57A6D" w:rsidRPr="00741241">
        <w:rPr>
          <w:rFonts w:ascii="Times New Roman" w:eastAsia="Calibri" w:hAnsi="Times New Roman" w:cs="Times New Roman"/>
          <w:sz w:val="24"/>
          <w:szCs w:val="24"/>
          <w:lang w:val="sq-AL"/>
        </w:rPr>
        <w:t>Shkolla e Mesme Profesionale, “</w:t>
      </w:r>
      <w:proofErr w:type="spellStart"/>
      <w:r w:rsidR="00C57A6D" w:rsidRPr="00741241">
        <w:rPr>
          <w:rFonts w:ascii="Times New Roman" w:eastAsia="Calibri" w:hAnsi="Times New Roman" w:cs="Times New Roman"/>
          <w:sz w:val="24"/>
          <w:szCs w:val="24"/>
          <w:lang w:val="sq-AL"/>
        </w:rPr>
        <w:t>Charles</w:t>
      </w:r>
      <w:proofErr w:type="spellEnd"/>
      <w:r w:rsidR="00C57A6D" w:rsidRPr="00741241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C57A6D" w:rsidRPr="00741241">
        <w:rPr>
          <w:rFonts w:ascii="Times New Roman" w:eastAsia="Calibri" w:hAnsi="Times New Roman" w:cs="Times New Roman"/>
          <w:sz w:val="24"/>
          <w:szCs w:val="24"/>
          <w:lang w:val="sq-AL"/>
        </w:rPr>
        <w:t>Telford</w:t>
      </w:r>
      <w:proofErr w:type="spellEnd"/>
      <w:r w:rsidR="00C57A6D" w:rsidRPr="00741241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C57A6D" w:rsidRPr="00741241">
        <w:rPr>
          <w:rFonts w:ascii="Times New Roman" w:eastAsia="Calibri" w:hAnsi="Times New Roman" w:cs="Times New Roman"/>
          <w:sz w:val="24"/>
          <w:szCs w:val="24"/>
          <w:lang w:val="sq-AL"/>
        </w:rPr>
        <w:t>Erickson</w:t>
      </w:r>
      <w:proofErr w:type="spellEnd"/>
      <w:r w:rsidR="00C57A6D" w:rsidRPr="00741241">
        <w:rPr>
          <w:rFonts w:ascii="Times New Roman" w:eastAsia="Calibri" w:hAnsi="Times New Roman" w:cs="Times New Roman"/>
          <w:sz w:val="24"/>
          <w:szCs w:val="24"/>
          <w:lang w:val="sq-AL"/>
        </w:rPr>
        <w:t>”, Golem-Kavajë</w:t>
      </w:r>
      <w:r w:rsidR="00C57A6D" w:rsidRPr="00741241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me adresë</w:t>
      </w:r>
      <w:r w:rsidRPr="0074124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57A6D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Bulevardi i Palmave, pranë Xhamisë, Golem-Kavajë</w:t>
      </w: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 depozitoi kërkesën për akreditim pranë AKAFPK-së </w:t>
      </w:r>
      <w:r w:rsidRPr="00741241">
        <w:rPr>
          <w:rFonts w:ascii="Times New Roman" w:eastAsia="Times New Roman" w:hAnsi="Times New Roman"/>
          <w:sz w:val="24"/>
          <w:szCs w:val="24"/>
          <w:lang w:val="sq-AL"/>
        </w:rPr>
        <w:t xml:space="preserve">me nr. </w:t>
      </w:r>
      <w:proofErr w:type="spellStart"/>
      <w:r w:rsidRPr="00741241">
        <w:rPr>
          <w:rFonts w:ascii="Times New Roman" w:eastAsia="Times New Roman" w:hAnsi="Times New Roman"/>
          <w:sz w:val="24"/>
          <w:szCs w:val="24"/>
          <w:lang w:val="sq-AL"/>
        </w:rPr>
        <w:t>prot</w:t>
      </w:r>
      <w:proofErr w:type="spellEnd"/>
      <w:r w:rsidRPr="00741241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2A6965" w:rsidRPr="00741241">
        <w:rPr>
          <w:rFonts w:ascii="Times New Roman" w:eastAsia="Times New Roman" w:hAnsi="Times New Roman"/>
          <w:sz w:val="24"/>
          <w:szCs w:val="24"/>
          <w:lang w:val="sq-AL"/>
        </w:rPr>
        <w:t>192 datë 28</w:t>
      </w:r>
      <w:r w:rsidRPr="00741241">
        <w:rPr>
          <w:rFonts w:ascii="Times New Roman" w:eastAsia="Times New Roman" w:hAnsi="Times New Roman"/>
          <w:sz w:val="24"/>
          <w:szCs w:val="24"/>
          <w:lang w:val="sq-AL"/>
        </w:rPr>
        <w:t>.4.2023, dhe protoko</w:t>
      </w:r>
      <w:r w:rsidR="002A6965" w:rsidRPr="00741241">
        <w:rPr>
          <w:rFonts w:ascii="Times New Roman" w:eastAsia="Times New Roman" w:hAnsi="Times New Roman"/>
          <w:sz w:val="24"/>
          <w:szCs w:val="24"/>
          <w:lang w:val="sq-AL"/>
        </w:rPr>
        <w:t xml:space="preserve">lluar pranë AKAFPK-së me nr. 185 </w:t>
      </w:r>
      <w:proofErr w:type="spellStart"/>
      <w:r w:rsidR="002A6965" w:rsidRPr="00741241">
        <w:rPr>
          <w:rFonts w:ascii="Times New Roman" w:eastAsia="Times New Roman" w:hAnsi="Times New Roman"/>
          <w:sz w:val="24"/>
          <w:szCs w:val="24"/>
          <w:lang w:val="sq-AL"/>
        </w:rPr>
        <w:t>prot</w:t>
      </w:r>
      <w:proofErr w:type="spellEnd"/>
      <w:r w:rsidR="002A6965" w:rsidRPr="00741241">
        <w:rPr>
          <w:rFonts w:ascii="Times New Roman" w:eastAsia="Times New Roman" w:hAnsi="Times New Roman"/>
          <w:sz w:val="24"/>
          <w:szCs w:val="24"/>
          <w:lang w:val="sq-AL"/>
        </w:rPr>
        <w:t>., datë 02.05</w:t>
      </w:r>
      <w:r w:rsidRPr="00741241">
        <w:rPr>
          <w:rFonts w:ascii="Times New Roman" w:eastAsia="Times New Roman" w:hAnsi="Times New Roman"/>
          <w:sz w:val="24"/>
          <w:szCs w:val="24"/>
          <w:lang w:val="sq-AL"/>
        </w:rPr>
        <w:t>.2023.</w:t>
      </w:r>
    </w:p>
    <w:p w:rsidR="00C97F1F" w:rsidRPr="00741241" w:rsidRDefault="00C97F1F" w:rsidP="008A4F3A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AKAFPK-ja pasi shqyrtoi dokumentacionin e aplikimit</w:t>
      </w:r>
      <w:r w:rsidR="00D82255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vendosi për nisjen e procedurës së akreditimit. Në zbatim të Urdhrit nr. 128/2021 të MFE nisi procesin e Akreditimit duke ngritur dhe konsoliduar grupin e vlerësuesve të jashtëm (GVJ), përmes një procedure të miratuar më parë.</w:t>
      </w:r>
    </w:p>
    <w:p w:rsidR="00C97F1F" w:rsidRPr="00741241" w:rsidRDefault="00C97F1F" w:rsidP="008A4F3A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C97F1F" w:rsidRPr="00741241" w:rsidRDefault="00C97F1F" w:rsidP="008A4F3A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Vizita e grupit të vlerësuesve të jashtëm, i përbërë prej 3 anëtarësh, zgjati 3 ditë sipas një </w:t>
      </w:r>
      <w:proofErr w:type="spellStart"/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axhende</w:t>
      </w:r>
      <w:proofErr w:type="spellEnd"/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 përcaktuar prej tyre dhe të </w:t>
      </w:r>
      <w:proofErr w:type="spellStart"/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dakortësuar</w:t>
      </w:r>
      <w:proofErr w:type="spellEnd"/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me ofruesin.</w:t>
      </w:r>
    </w:p>
    <w:p w:rsidR="00C97F1F" w:rsidRPr="00741241" w:rsidRDefault="00C97F1F" w:rsidP="008A4F3A">
      <w:p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Procesi i akreditimit ka kaluar në hapat e pasqyruara si më poshtë:</w:t>
      </w:r>
    </w:p>
    <w:p w:rsidR="00C97F1F" w:rsidRPr="00741241" w:rsidRDefault="00C97F1F" w:rsidP="008A4F3A">
      <w:p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C97F1F" w:rsidRPr="00741241" w:rsidRDefault="00C97F1F" w:rsidP="008A4F3A">
      <w:pPr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Studimi i dosjes së dokumenteve të akreditimit, dosjes së vetëvlerësimit dhe raportit përmbledhës të këtij procesi (</w:t>
      </w:r>
      <w:r w:rsidRPr="00741241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para dhe pas vizitës</w:t>
      </w: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)</w:t>
      </w:r>
    </w:p>
    <w:p w:rsidR="00C97F1F" w:rsidRPr="00741241" w:rsidRDefault="00C97F1F" w:rsidP="008A4F3A">
      <w:pPr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Takime të përbashkëta të GVJ për të sqaruar çështje të cilat kërkonin diskutime/sqarime. Takimet janë zhvilluar ‘</w:t>
      </w:r>
      <w:r w:rsidRPr="00741241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direkt’</w:t>
      </w: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“</w:t>
      </w:r>
      <w:proofErr w:type="spellStart"/>
      <w:r w:rsidRPr="00741241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online</w:t>
      </w:r>
      <w:proofErr w:type="spellEnd"/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”;</w:t>
      </w:r>
    </w:p>
    <w:p w:rsidR="00C97F1F" w:rsidRPr="00741241" w:rsidRDefault="00C97F1F" w:rsidP="008A4F3A">
      <w:pPr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Përcaktimi dhe aplikimi i metodave të mbledhjes së të dhënave te ofruesi</w:t>
      </w:r>
    </w:p>
    <w:p w:rsidR="00C97F1F" w:rsidRPr="00741241" w:rsidRDefault="00C97F1F" w:rsidP="008A4F3A">
      <w:pPr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Aplikimi i pyetësorëve (</w:t>
      </w:r>
      <w:proofErr w:type="spellStart"/>
      <w:r w:rsidRPr="00741241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google</w:t>
      </w:r>
      <w:proofErr w:type="spellEnd"/>
      <w:r w:rsidRPr="00741241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</w:t>
      </w:r>
      <w:proofErr w:type="spellStart"/>
      <w:r w:rsidRPr="00741241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form</w:t>
      </w:r>
      <w:proofErr w:type="spellEnd"/>
      <w:r w:rsidRPr="00741241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ose </w:t>
      </w:r>
      <w:proofErr w:type="spellStart"/>
      <w:r w:rsidRPr="00741241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hard</w:t>
      </w:r>
      <w:proofErr w:type="spellEnd"/>
      <w:r w:rsidRPr="00741241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</w:t>
      </w:r>
      <w:proofErr w:type="spellStart"/>
      <w:r w:rsidRPr="00741241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copy</w:t>
      </w:r>
      <w:proofErr w:type="spellEnd"/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)</w:t>
      </w:r>
    </w:p>
    <w:p w:rsidR="00C97F1F" w:rsidRPr="00741241" w:rsidRDefault="00C97F1F" w:rsidP="008A4F3A">
      <w:pPr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Shkrimi i raportit, i cili është punuar në “</w:t>
      </w:r>
      <w:proofErr w:type="spellStart"/>
      <w:r w:rsidRPr="00741241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Drive</w:t>
      </w:r>
      <w:proofErr w:type="spellEnd"/>
      <w:r w:rsidRPr="00741241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</w:t>
      </w:r>
      <w:proofErr w:type="spellStart"/>
      <w:r w:rsidRPr="00741241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form</w:t>
      </w:r>
      <w:proofErr w:type="spellEnd"/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ka ndihmuar shumë në punën e përbashkët për një raport sa më cilësor. </w:t>
      </w:r>
    </w:p>
    <w:p w:rsidR="00C97F1F" w:rsidRPr="00741241" w:rsidRDefault="00C97F1F" w:rsidP="008A4F3A">
      <w:pPr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Dorëzimi i raportit paraprak nga GVJ në AKAFPK (</w:t>
      </w:r>
      <w:r w:rsidRPr="00741241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i firmosur</w:t>
      </w: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) së bashku me evidencat mbështetëse.</w:t>
      </w:r>
    </w:p>
    <w:p w:rsidR="00C97F1F" w:rsidRPr="00741241" w:rsidRDefault="00C97F1F" w:rsidP="008A4F3A">
      <w:pPr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Marrja e komenteve nga AKAFPK dhe rishikimi i raportit paraprak nga GVJ.</w:t>
      </w:r>
    </w:p>
    <w:p w:rsidR="00C97F1F" w:rsidRPr="00741241" w:rsidRDefault="00C97F1F" w:rsidP="008A4F3A">
      <w:pPr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Hartimi dhe dorëzimi i raportit me reflektimet dhe sugjerimet përkatëse.</w:t>
      </w:r>
    </w:p>
    <w:p w:rsidR="00C97F1F" w:rsidRPr="00741241" w:rsidRDefault="00C97F1F" w:rsidP="008A4F3A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C97F1F" w:rsidRPr="00741241" w:rsidRDefault="00C97F1F" w:rsidP="008A4F3A">
      <w:p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sz w:val="24"/>
          <w:szCs w:val="24"/>
          <w:lang w:val="sq-AL"/>
        </w:rPr>
        <w:t>METODAT E PËRDORURA:</w:t>
      </w:r>
    </w:p>
    <w:p w:rsidR="00C97F1F" w:rsidRPr="00741241" w:rsidRDefault="00C97F1F" w:rsidP="008A4F3A">
      <w:p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97F1F" w:rsidRPr="00741241" w:rsidRDefault="00C97F1F" w:rsidP="008A4F3A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Vëzhgimi: </w:t>
      </w: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Konsiston në aplikimin e formateve standarde të vëzhgimit të ambienteve të ofruesit dhe të proceseve mësimore të mësimdhënies dhe </w:t>
      </w:r>
      <w:proofErr w:type="spellStart"/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mësimnxënies</w:t>
      </w:r>
      <w:proofErr w:type="spellEnd"/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, formularët e vëzhgimit të dokumentacioneve të ofruesit.</w:t>
      </w:r>
    </w:p>
    <w:p w:rsidR="00C97F1F" w:rsidRPr="00741241" w:rsidRDefault="00C97F1F" w:rsidP="008A4F3A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C97F1F" w:rsidRPr="00741241" w:rsidRDefault="00C97F1F" w:rsidP="008A4F3A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Pyetësorë: </w:t>
      </w: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Janë aplikuar pyetësorë me grupet e interesit, në </w:t>
      </w:r>
      <w:proofErr w:type="spellStart"/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google</w:t>
      </w:r>
      <w:proofErr w:type="spellEnd"/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form</w:t>
      </w:r>
      <w:proofErr w:type="spellEnd"/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</w:t>
      </w:r>
      <w:proofErr w:type="spellStart"/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hard</w:t>
      </w:r>
      <w:proofErr w:type="spellEnd"/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copy</w:t>
      </w:r>
      <w:proofErr w:type="spellEnd"/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duke përzgjedhur kampione përfaqësuese nga të gjitha kualifikimet profesionale që ofruesi kërkon të akreditojë.</w:t>
      </w:r>
    </w:p>
    <w:p w:rsidR="00C97F1F" w:rsidRPr="00741241" w:rsidRDefault="00C97F1F" w:rsidP="008A4F3A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C97F1F" w:rsidRPr="00741241" w:rsidRDefault="00C97F1F" w:rsidP="008A4F3A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Intervista: </w:t>
      </w: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Janë realizuar me grupet e interesit ballë për ballë, pasi janë realizuar vëzhgimet dhe pyetësorët. Intervistat kanë qenë të strukturuara ose </w:t>
      </w:r>
      <w:r w:rsidR="00F66455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gjysmë</w:t>
      </w: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 strukturuara. Mbledhja e </w:t>
      </w: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informacioneve me këtë metodë ka lehtësuar komunikimin për të dhënë sqarime pikëpyetjeve të vlerësuesve të jashtëm në lidhje me kritere të caktuara.</w:t>
      </w:r>
    </w:p>
    <w:p w:rsidR="00C97F1F" w:rsidRPr="00741241" w:rsidRDefault="00C97F1F" w:rsidP="008A4F3A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C97F1F" w:rsidRPr="00741241" w:rsidRDefault="00C97F1F" w:rsidP="008A4F3A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Fokus grupe: </w:t>
      </w: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Një metodë e cila ka shkurtuar kohën në mbledhjen e të dhënave nëpërmjet të cilit një vlerësues i jashtëm i përcaktuar si moderator ka intervistuar disa pjesëmarrës nga i njëjti grup interesi.</w:t>
      </w:r>
    </w:p>
    <w:p w:rsidR="00C97F1F" w:rsidRPr="00741241" w:rsidRDefault="00C97F1F" w:rsidP="008A4F3A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C97F1F" w:rsidRPr="00741241" w:rsidRDefault="00C97F1F" w:rsidP="008A4F3A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Puna në grup: </w:t>
      </w: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Ndarja e punës për secilin vlerësues, për grumbullimin dhe përpunimin e dokumentacionit. Të gjitha vlerësimet dhe rekomandimet janë diskutuar dhe kanë dalë nga mendimi i përbashkët i GVJ. Drejtuesja e GVJ ka udhëhequr punën dhe ka komunikuar me AKAFPK-në për çdo problematikë. </w:t>
      </w:r>
      <w:r w:rsidRPr="00741241">
        <w:rPr>
          <w:rFonts w:ascii="Times New Roman" w:hAnsi="Times New Roman" w:cs="Times New Roman"/>
          <w:sz w:val="24"/>
          <w:szCs w:val="24"/>
          <w:lang w:val="sq-AL"/>
        </w:rPr>
        <w:t xml:space="preserve">Në fund të procesit të akreditimit, Raporti përfundimtar u pranua gjerësisht nga të gjithë aktorët dhe më poshtë u prezantuan përpara Ministrit të Ekonomisë, Kulturës dhe Inovacionit gjetjet kryesore dhe një sërë rekomandimesh që ofruesi publik </w:t>
      </w:r>
      <w:r w:rsidR="00BD5945" w:rsidRPr="00741241">
        <w:rPr>
          <w:rFonts w:ascii="Times New Roman" w:hAnsi="Times New Roman" w:cs="Times New Roman"/>
          <w:sz w:val="24"/>
          <w:szCs w:val="24"/>
          <w:lang w:val="sq-AL"/>
        </w:rPr>
        <w:t>Shkolla e Mesme Profesionale “</w:t>
      </w:r>
      <w:proofErr w:type="spellStart"/>
      <w:r w:rsidR="00BD5945" w:rsidRPr="00741241">
        <w:rPr>
          <w:rFonts w:ascii="Times New Roman" w:hAnsi="Times New Roman" w:cs="Times New Roman"/>
          <w:sz w:val="24"/>
          <w:szCs w:val="24"/>
          <w:lang w:val="sq-AL"/>
        </w:rPr>
        <w:t>Charles</w:t>
      </w:r>
      <w:proofErr w:type="spellEnd"/>
      <w:r w:rsidR="00BD5945" w:rsidRPr="0074124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BD5945" w:rsidRPr="00741241">
        <w:rPr>
          <w:rFonts w:ascii="Times New Roman" w:hAnsi="Times New Roman" w:cs="Times New Roman"/>
          <w:sz w:val="24"/>
          <w:szCs w:val="24"/>
          <w:lang w:val="sq-AL"/>
        </w:rPr>
        <w:t>Telford</w:t>
      </w:r>
      <w:proofErr w:type="spellEnd"/>
      <w:r w:rsidR="00BD5945" w:rsidRPr="0074124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BD5945" w:rsidRPr="00741241">
        <w:rPr>
          <w:rFonts w:ascii="Times New Roman" w:hAnsi="Times New Roman" w:cs="Times New Roman"/>
          <w:sz w:val="24"/>
          <w:szCs w:val="24"/>
          <w:lang w:val="sq-AL"/>
        </w:rPr>
        <w:t>Erickson</w:t>
      </w:r>
      <w:proofErr w:type="spellEnd"/>
      <w:r w:rsidR="00BD5945" w:rsidRPr="00741241">
        <w:rPr>
          <w:rFonts w:ascii="Times New Roman" w:hAnsi="Times New Roman" w:cs="Times New Roman"/>
          <w:sz w:val="24"/>
          <w:szCs w:val="24"/>
          <w:lang w:val="sq-AL"/>
        </w:rPr>
        <w:t>”, Golem-Kavajë</w:t>
      </w:r>
      <w:r w:rsidRPr="00741241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741241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Pr="00741241">
        <w:rPr>
          <w:rFonts w:ascii="Times New Roman" w:hAnsi="Times New Roman" w:cs="Times New Roman"/>
          <w:sz w:val="24"/>
          <w:szCs w:val="24"/>
          <w:lang w:val="sq-AL"/>
        </w:rPr>
        <w:t>do të duhet të ndjekë më tej.</w:t>
      </w:r>
    </w:p>
    <w:p w:rsidR="00BA5873" w:rsidRPr="00741241" w:rsidRDefault="00BA5873" w:rsidP="008A4F3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BA5873" w:rsidRPr="00741241" w:rsidRDefault="00BA5873" w:rsidP="008A4F3A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GJETJET PËR 5 FUSHAT E CIL</w:t>
      </w:r>
      <w:r w:rsidRPr="00741241">
        <w:rPr>
          <w:rFonts w:ascii="Times New Roman" w:eastAsia="Calibri" w:hAnsi="Times New Roman" w:cs="Times New Roman"/>
          <w:b/>
          <w:sz w:val="24"/>
          <w:szCs w:val="24"/>
          <w:lang w:val="sq-AL"/>
        </w:rPr>
        <w:t>ËSISË</w:t>
      </w:r>
    </w:p>
    <w:p w:rsidR="00BA5873" w:rsidRPr="00741241" w:rsidRDefault="00BA5873" w:rsidP="008A4F3A">
      <w:pPr>
        <w:pStyle w:val="ListParagraph"/>
        <w:shd w:val="clear" w:color="auto" w:fill="FFFFFF" w:themeFill="background1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BA5873" w:rsidRPr="00741241" w:rsidRDefault="00BA5873" w:rsidP="008A4F3A">
      <w:pPr>
        <w:shd w:val="clear" w:color="auto" w:fill="D0CECE" w:themeFill="background2" w:themeFillShade="E6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sz w:val="24"/>
          <w:szCs w:val="24"/>
          <w:lang w:val="sq-AL"/>
        </w:rPr>
        <w:t>Fusha 1 Menaxhimi.</w:t>
      </w:r>
    </w:p>
    <w:p w:rsidR="00B2286E" w:rsidRPr="00741241" w:rsidRDefault="000740E6" w:rsidP="008A4F3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sz w:val="24"/>
          <w:szCs w:val="24"/>
          <w:lang w:val="sq-AL"/>
        </w:rPr>
        <w:t>Gjatë analizës për treguesit,  kriteret që përdoren për akreditimin e ofruesit të AFP-së nëpërmjet të dhënave, evidencave  që mbështesin vlerësimin, dokument</w:t>
      </w:r>
      <w:r w:rsidR="007F48CB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741241">
        <w:rPr>
          <w:rFonts w:ascii="Times New Roman" w:hAnsi="Times New Roman" w:cs="Times New Roman"/>
          <w:sz w:val="24"/>
          <w:szCs w:val="24"/>
          <w:lang w:val="sq-AL"/>
        </w:rPr>
        <w:t xml:space="preserve">ve dhe evidencave të mbledhura për fushën 1 </w:t>
      </w:r>
      <w:r w:rsidR="00060167" w:rsidRPr="00741241">
        <w:rPr>
          <w:rFonts w:ascii="Times New Roman" w:hAnsi="Times New Roman" w:cs="Times New Roman"/>
          <w:sz w:val="24"/>
          <w:szCs w:val="24"/>
          <w:lang w:val="sq-AL"/>
        </w:rPr>
        <w:t>“</w:t>
      </w:r>
      <w:r w:rsidRPr="00741241">
        <w:rPr>
          <w:rFonts w:ascii="Times New Roman" w:hAnsi="Times New Roman" w:cs="Times New Roman"/>
          <w:sz w:val="24"/>
          <w:szCs w:val="24"/>
          <w:lang w:val="sq-AL"/>
        </w:rPr>
        <w:t>Menaxhimi</w:t>
      </w:r>
      <w:r w:rsidR="00060167" w:rsidRPr="00741241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741241">
        <w:rPr>
          <w:rFonts w:ascii="Times New Roman" w:hAnsi="Times New Roman" w:cs="Times New Roman"/>
          <w:sz w:val="24"/>
          <w:szCs w:val="24"/>
          <w:lang w:val="sq-AL"/>
        </w:rPr>
        <w:t xml:space="preserve">, u </w:t>
      </w:r>
      <w:r w:rsidR="002A5E10" w:rsidRPr="00741241">
        <w:rPr>
          <w:rFonts w:ascii="Times New Roman" w:hAnsi="Times New Roman" w:cs="Times New Roman"/>
          <w:sz w:val="24"/>
          <w:szCs w:val="24"/>
          <w:lang w:val="sq-AL"/>
        </w:rPr>
        <w:t>konstatua se në shkollë hartohen</w:t>
      </w:r>
      <w:r w:rsidRPr="00741241">
        <w:rPr>
          <w:rFonts w:ascii="Times New Roman" w:hAnsi="Times New Roman" w:cs="Times New Roman"/>
          <w:sz w:val="24"/>
          <w:szCs w:val="24"/>
          <w:lang w:val="sq-AL"/>
        </w:rPr>
        <w:t xml:space="preserve"> dokument</w:t>
      </w:r>
      <w:r w:rsidR="007F48CB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741241">
        <w:rPr>
          <w:rFonts w:ascii="Times New Roman" w:hAnsi="Times New Roman" w:cs="Times New Roman"/>
          <w:sz w:val="24"/>
          <w:szCs w:val="24"/>
          <w:lang w:val="sq-AL"/>
        </w:rPr>
        <w:t>t e kërkuara me ligj. Në plane</w:t>
      </w:r>
      <w:r w:rsidR="00060167" w:rsidRPr="00741241">
        <w:rPr>
          <w:rFonts w:ascii="Times New Roman" w:hAnsi="Times New Roman" w:cs="Times New Roman"/>
          <w:sz w:val="24"/>
          <w:szCs w:val="24"/>
          <w:lang w:val="sq-AL"/>
        </w:rPr>
        <w:t>t afatmesëm dhe vjetor janë evidentuar</w:t>
      </w:r>
      <w:r w:rsidRPr="00741241">
        <w:rPr>
          <w:rFonts w:ascii="Times New Roman" w:hAnsi="Times New Roman" w:cs="Times New Roman"/>
          <w:sz w:val="24"/>
          <w:szCs w:val="24"/>
          <w:lang w:val="sq-AL"/>
        </w:rPr>
        <w:t xml:space="preserve"> pikat e forta dhe pikat e dobëta dhe janë planifikuar aktivitete për forcimin e pikave të forta dhe përmirësimin e pikave të dobëta. Shkolla ka planin financiar dhe në planet afatmesëm dhe vjetor ka planifikuar buxhetin e nevojshëm për arritjen e objektivave.</w:t>
      </w:r>
      <w:r w:rsidR="005B7929" w:rsidRPr="0074124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2286E" w:rsidRPr="00741241">
        <w:rPr>
          <w:rFonts w:ascii="Times New Roman" w:hAnsi="Times New Roman" w:cs="Times New Roman"/>
          <w:sz w:val="24"/>
          <w:szCs w:val="24"/>
          <w:lang w:val="sq-AL"/>
        </w:rPr>
        <w:t>Këqyrja e dokumentacionit të shkollës si dhe vëzhgimi nga afër i aktivitetit të saj, ofroi një panoramë jo shumë të qartë të mënyrës së organizimit dhe shfrytëzimit të burimeve në arritjen e rezultateve që shkolla ka përcaktuar në synimet e saj por  ka vend për përmirësim. Janë dokumentuar të gjitha proceset dhe rezultatet e pritshme, puna  në grup, përfshirja dhe  konsultimi me të gjithë grupet e interesit (përfaqësues të punëdhënësve, të mësimdhënësve, të nxënësve, prindërve) si në menaxhim  dhe vendimmarrje, duke përdorur ciklin e cilësisë dhe duke menaxhuar të gjithë, burimet njerëzore, materiale e financiare.</w:t>
      </w:r>
    </w:p>
    <w:p w:rsidR="00B2286E" w:rsidRPr="00741241" w:rsidRDefault="00B2286E" w:rsidP="008A4F3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sz w:val="24"/>
          <w:szCs w:val="24"/>
          <w:lang w:val="sq-AL"/>
        </w:rPr>
        <w:t>Analiza e rezultateve të arritura, e cila është nxjerrë mbi bazën e një procesi që prek çdo aspekt të menaxhimit, siç është vetëvlerësimi, ka përcaktuar pikat e dobëta dhe të forta të institucionit. Plani i përmirësimit është ndërtuar mbi bazën e elementeve të sipërpërmendur</w:t>
      </w:r>
      <w:r w:rsidR="00742530" w:rsidRPr="00741241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BA5873" w:rsidRPr="00741241" w:rsidRDefault="00BA5873" w:rsidP="008A4F3A">
      <w:pPr>
        <w:pStyle w:val="NormalWeb"/>
        <w:spacing w:line="276" w:lineRule="auto"/>
        <w:jc w:val="both"/>
        <w:rPr>
          <w:lang w:val="sq-AL"/>
        </w:rPr>
      </w:pPr>
      <w:r w:rsidRPr="00741241">
        <w:rPr>
          <w:b/>
          <w:u w:val="single"/>
          <w:lang w:val="sq-AL"/>
        </w:rPr>
        <w:t xml:space="preserve">Kriteri </w:t>
      </w:r>
      <w:r w:rsidR="00182D59" w:rsidRPr="00741241">
        <w:rPr>
          <w:b/>
          <w:u w:val="single"/>
          <w:lang w:val="sq-AL"/>
        </w:rPr>
        <w:t>1.5.1.7</w:t>
      </w:r>
      <w:r w:rsidRPr="00741241">
        <w:rPr>
          <w:lang w:val="sq-AL"/>
        </w:rPr>
        <w:t xml:space="preserve"> </w:t>
      </w:r>
      <w:r w:rsidR="00182D59" w:rsidRPr="00741241">
        <w:rPr>
          <w:lang w:val="sq-AL"/>
        </w:rPr>
        <w:t>“</w:t>
      </w:r>
      <w:r w:rsidR="00182D59" w:rsidRPr="00741241">
        <w:rPr>
          <w:i/>
          <w:lang w:val="sq-AL"/>
        </w:rPr>
        <w:t xml:space="preserve">Vlerësimi i stafit mësimdhënës dhe jo mësimdhënës lidhet </w:t>
      </w:r>
      <w:sdt>
        <w:sdtPr>
          <w:rPr>
            <w:i/>
            <w:lang w:val="sq-AL"/>
          </w:rPr>
          <w:tag w:val="goog_rdk_90"/>
          <w:id w:val="913432903"/>
        </w:sdtPr>
        <w:sdtEndPr/>
        <w:sdtContent/>
      </w:sdt>
      <w:r w:rsidR="00182D59" w:rsidRPr="00741241">
        <w:rPr>
          <w:i/>
          <w:lang w:val="sq-AL"/>
        </w:rPr>
        <w:t xml:space="preserve">me nivelin e arritjeve të synimeve strategjike, të aktiviteteve, treguesve të përcaktuar në planin afatmesëm  dhe planin </w:t>
      </w:r>
      <w:r w:rsidR="00182D59" w:rsidRPr="00741241">
        <w:rPr>
          <w:i/>
          <w:lang w:val="sq-AL"/>
        </w:rPr>
        <w:lastRenderedPageBreak/>
        <w:t xml:space="preserve">vjetor”, </w:t>
      </w:r>
      <w:r w:rsidRPr="00741241">
        <w:rPr>
          <w:b/>
          <w:lang w:val="sq-AL"/>
        </w:rPr>
        <w:t>rezulton i pa përmbushur</w:t>
      </w:r>
      <w:r w:rsidRPr="00741241">
        <w:rPr>
          <w:lang w:val="sq-AL"/>
        </w:rPr>
        <w:t xml:space="preserve">, mbështetur në vlerësimin e bërë nga GVJ në Raportin përfundimtar të Akreditimit. </w:t>
      </w:r>
    </w:p>
    <w:p w:rsidR="00BA5873" w:rsidRPr="00741241" w:rsidRDefault="00182D59" w:rsidP="008A4F3A">
      <w:pPr>
        <w:pStyle w:val="NormalWeb"/>
        <w:spacing w:line="276" w:lineRule="auto"/>
        <w:jc w:val="both"/>
        <w:rPr>
          <w:lang w:val="sq-AL"/>
        </w:rPr>
      </w:pPr>
      <w:r w:rsidRPr="00741241">
        <w:rPr>
          <w:b/>
          <w:u w:val="single"/>
          <w:lang w:val="sq-AL"/>
        </w:rPr>
        <w:t xml:space="preserve">Kriteri </w:t>
      </w:r>
      <w:r w:rsidRPr="00741241">
        <w:rPr>
          <w:b/>
          <w:color w:val="0D0D0D" w:themeColor="text1" w:themeTint="F2"/>
          <w:u w:val="single"/>
          <w:lang w:val="sq-AL"/>
        </w:rPr>
        <w:t>1.5.3.1</w:t>
      </w:r>
      <w:r w:rsidRPr="00741241">
        <w:rPr>
          <w:color w:val="0D0D0D" w:themeColor="text1" w:themeTint="F2"/>
          <w:lang w:val="sq-AL"/>
        </w:rPr>
        <w:t xml:space="preserve"> </w:t>
      </w:r>
      <w:r w:rsidRPr="00741241">
        <w:rPr>
          <w:i/>
          <w:color w:val="0D0D0D" w:themeColor="text1" w:themeTint="F2"/>
          <w:lang w:val="sq-AL"/>
        </w:rPr>
        <w:t xml:space="preserve">“Drejtoria/njësia përkatëse e ofruesit të AFP-së krijon një inventar të praktikave të mira me shembuj të metodave të mira të mësimdhënies dhe të </w:t>
      </w:r>
      <w:proofErr w:type="spellStart"/>
      <w:r w:rsidRPr="00741241">
        <w:rPr>
          <w:i/>
          <w:color w:val="0D0D0D" w:themeColor="text1" w:themeTint="F2"/>
          <w:lang w:val="sq-AL"/>
        </w:rPr>
        <w:t>të</w:t>
      </w:r>
      <w:proofErr w:type="spellEnd"/>
      <w:r w:rsidRPr="00741241">
        <w:rPr>
          <w:i/>
          <w:color w:val="0D0D0D" w:themeColor="text1" w:themeTint="F2"/>
          <w:lang w:val="sq-AL"/>
        </w:rPr>
        <w:t xml:space="preserve"> nxënit, të aftësimit praktik, të cilat mblidhen nga programe të zhvillimit profesional (të brendshëm dhe të jashtëm), si dhe në sajë të marrëdhënieve dhe bashkëpunimit me institucionet, organizatat dhe grupet e interesit në nivel kombëtar dhe ndërkombëtar”,</w:t>
      </w:r>
      <w:r w:rsidRPr="00741241">
        <w:rPr>
          <w:color w:val="0D0D0D" w:themeColor="text1" w:themeTint="F2"/>
          <w:lang w:val="sq-AL"/>
        </w:rPr>
        <w:t xml:space="preserve"> </w:t>
      </w:r>
      <w:r w:rsidRPr="00741241">
        <w:rPr>
          <w:b/>
          <w:lang w:val="sq-AL"/>
        </w:rPr>
        <w:t>rezulton i pa përmbushur</w:t>
      </w:r>
      <w:r w:rsidRPr="00741241">
        <w:rPr>
          <w:lang w:val="sq-AL"/>
        </w:rPr>
        <w:t xml:space="preserve">, mbështetur në vlerësimin e bërë nga GVJ në Raportin përfundimtar të Akreditimit. </w:t>
      </w:r>
    </w:p>
    <w:p w:rsidR="00001D54" w:rsidRPr="00741241" w:rsidRDefault="00D60361" w:rsidP="008A4F3A">
      <w:pPr>
        <w:pStyle w:val="NormalWeb"/>
        <w:spacing w:line="276" w:lineRule="auto"/>
        <w:jc w:val="both"/>
        <w:rPr>
          <w:lang w:val="sq-AL"/>
        </w:rPr>
      </w:pPr>
      <w:bookmarkStart w:id="0" w:name="_Hlk142523296"/>
      <w:r w:rsidRPr="00741241">
        <w:rPr>
          <w:b/>
          <w:color w:val="0D0D0D" w:themeColor="text1" w:themeTint="F2"/>
          <w:u w:val="single"/>
          <w:lang w:val="sq-AL"/>
        </w:rPr>
        <w:t xml:space="preserve">Kriteri </w:t>
      </w:r>
      <w:r w:rsidR="00001D54" w:rsidRPr="00741241">
        <w:rPr>
          <w:b/>
          <w:color w:val="0D0D0D" w:themeColor="text1" w:themeTint="F2"/>
          <w:u w:val="single"/>
          <w:lang w:val="sq-AL"/>
        </w:rPr>
        <w:t>1.5.3.2</w:t>
      </w:r>
      <w:r w:rsidR="00001D54" w:rsidRPr="00741241">
        <w:rPr>
          <w:color w:val="0D0D0D" w:themeColor="text1" w:themeTint="F2"/>
          <w:lang w:val="sq-AL"/>
        </w:rPr>
        <w:t xml:space="preserve"> </w:t>
      </w:r>
      <w:r w:rsidRPr="00741241">
        <w:rPr>
          <w:i/>
          <w:color w:val="0D0D0D" w:themeColor="text1" w:themeTint="F2"/>
          <w:lang w:val="sq-AL"/>
        </w:rPr>
        <w:t>“</w:t>
      </w:r>
      <w:r w:rsidR="00001D54" w:rsidRPr="00741241">
        <w:rPr>
          <w:i/>
          <w:color w:val="0D0D0D" w:themeColor="text1" w:themeTint="F2"/>
          <w:lang w:val="sq-AL"/>
        </w:rPr>
        <w:t>Praktikat dhe shembujt nga inventari i praktikave të mira përdoren për të përmirësuar menaxhimin e ofruesit të AFP-së, si dhe proceset dhe rezultatet e mësimdhënies dhe të nxënit</w:t>
      </w:r>
      <w:r w:rsidRPr="00741241">
        <w:rPr>
          <w:i/>
          <w:color w:val="0D0D0D" w:themeColor="text1" w:themeTint="F2"/>
          <w:lang w:val="sq-AL"/>
        </w:rPr>
        <w:t>”</w:t>
      </w:r>
      <w:r w:rsidRPr="00741241">
        <w:rPr>
          <w:color w:val="0D0D0D" w:themeColor="text1" w:themeTint="F2"/>
          <w:lang w:val="sq-AL"/>
        </w:rPr>
        <w:t xml:space="preserve"> </w:t>
      </w:r>
      <w:r w:rsidRPr="00741241">
        <w:rPr>
          <w:b/>
          <w:lang w:val="sq-AL"/>
        </w:rPr>
        <w:t>rezulton i pa përmbushur</w:t>
      </w:r>
      <w:r w:rsidRPr="00741241">
        <w:rPr>
          <w:lang w:val="sq-AL"/>
        </w:rPr>
        <w:t>, mbështetur në vlerësimin e bërë nga GVJ në Raportin përfundimtar të Akreditimit.</w:t>
      </w:r>
      <w:bookmarkEnd w:id="0"/>
    </w:p>
    <w:p w:rsidR="00001D54" w:rsidRPr="00741241" w:rsidRDefault="00D60361" w:rsidP="008A4F3A">
      <w:pPr>
        <w:pStyle w:val="NormalWeb"/>
        <w:spacing w:line="276" w:lineRule="auto"/>
        <w:jc w:val="both"/>
        <w:rPr>
          <w:lang w:val="sq-AL"/>
        </w:rPr>
      </w:pPr>
      <w:r w:rsidRPr="00741241">
        <w:rPr>
          <w:b/>
          <w:color w:val="0D0D0D" w:themeColor="text1" w:themeTint="F2"/>
          <w:u w:val="single"/>
          <w:lang w:val="sq-AL"/>
        </w:rPr>
        <w:t xml:space="preserve">Kriteri </w:t>
      </w:r>
      <w:r w:rsidR="00001D54" w:rsidRPr="00741241">
        <w:rPr>
          <w:b/>
          <w:color w:val="0D0D0D" w:themeColor="text1" w:themeTint="F2"/>
          <w:u w:val="single"/>
          <w:lang w:val="sq-AL"/>
        </w:rPr>
        <w:t>1.6.1.5</w:t>
      </w:r>
      <w:r w:rsidR="00001D54" w:rsidRPr="00741241">
        <w:rPr>
          <w:color w:val="0D0D0D" w:themeColor="text1" w:themeTint="F2"/>
          <w:lang w:val="sq-AL"/>
        </w:rPr>
        <w:t xml:space="preserve"> </w:t>
      </w:r>
      <w:r w:rsidRPr="00741241">
        <w:rPr>
          <w:i/>
          <w:color w:val="0D0D0D" w:themeColor="text1" w:themeTint="F2"/>
          <w:lang w:val="sq-AL"/>
        </w:rPr>
        <w:t>“</w:t>
      </w:r>
      <w:r w:rsidR="00001D54" w:rsidRPr="00741241">
        <w:rPr>
          <w:i/>
          <w:color w:val="0D0D0D" w:themeColor="text1" w:themeTint="F2"/>
          <w:lang w:val="sq-AL"/>
        </w:rPr>
        <w:t>Buxheti përmban zëra për programet e zhvillimit profesional të personelit drejtues, mësimdhënës dhe mbështetës</w:t>
      </w:r>
      <w:r w:rsidRPr="00741241">
        <w:rPr>
          <w:i/>
          <w:color w:val="0D0D0D" w:themeColor="text1" w:themeTint="F2"/>
          <w:lang w:val="sq-AL"/>
        </w:rPr>
        <w:t>”</w:t>
      </w:r>
      <w:r w:rsidRPr="00741241">
        <w:rPr>
          <w:b/>
          <w:lang w:val="sq-AL"/>
        </w:rPr>
        <w:t xml:space="preserve"> rezulton i pa përmbushur</w:t>
      </w:r>
      <w:r w:rsidRPr="00741241">
        <w:rPr>
          <w:lang w:val="sq-AL"/>
        </w:rPr>
        <w:t>, mbështetur në vlerësimin e bërë nga GVJ në Raportin përfundimtar të Akreditimit</w:t>
      </w:r>
      <w:r w:rsidR="00001D54" w:rsidRPr="00741241">
        <w:rPr>
          <w:i/>
          <w:color w:val="0D0D0D" w:themeColor="text1" w:themeTint="F2"/>
          <w:lang w:val="sq-AL"/>
        </w:rPr>
        <w:t>.</w:t>
      </w:r>
    </w:p>
    <w:p w:rsidR="00BA5873" w:rsidRPr="00741241" w:rsidRDefault="00BA5873" w:rsidP="008A4F3A">
      <w:pPr>
        <w:shd w:val="clear" w:color="auto" w:fill="D0CECE" w:themeFill="background2" w:themeFillShade="E6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sz w:val="24"/>
          <w:szCs w:val="24"/>
          <w:lang w:val="sq-AL"/>
        </w:rPr>
        <w:t>Fusha 2 Marrëdhënia dhe bashkëpunimi</w:t>
      </w:r>
      <w:r w:rsidRPr="00741241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43125" w:rsidRPr="00741241" w:rsidRDefault="00A67716" w:rsidP="008A4F3A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D0D0D" w:themeColor="text1" w:themeTint="F2"/>
          <w:lang w:val="sq-AL"/>
        </w:rPr>
      </w:pPr>
      <w:r w:rsidRPr="00741241">
        <w:rPr>
          <w:lang w:val="sq-AL"/>
        </w:rPr>
        <w:t xml:space="preserve">Gjatë analizës për treguesit,  kriteret që përdoren për akreditimin e ofruesit të AFP-së nëpërmjet të dhënave, evidencave  që mbështesin vlerësimin, të mbledhura për fushën 2 “Marrëdhënia dhe bashkëpunimi”, u konstatua se </w:t>
      </w:r>
      <w:r w:rsidRPr="00741241">
        <w:rPr>
          <w:color w:val="0D0D0D" w:themeColor="text1" w:themeTint="F2"/>
          <w:lang w:val="sq-AL"/>
        </w:rPr>
        <w:t xml:space="preserve">partnerët dhe komuniteti vendas i biznesit  nuk janë të identifikuar qartë në planin afatmesëm 2021-2025; dhe planin vjetor 2022-2023.  </w:t>
      </w:r>
      <w:r w:rsidR="004572C1" w:rsidRPr="00741241">
        <w:rPr>
          <w:color w:val="0D0D0D" w:themeColor="text1" w:themeTint="F2"/>
          <w:lang w:val="sq-AL"/>
        </w:rPr>
        <w:t xml:space="preserve">Drejtoria dhe stafi i </w:t>
      </w:r>
      <w:proofErr w:type="spellStart"/>
      <w:r w:rsidR="004572C1" w:rsidRPr="00741241">
        <w:rPr>
          <w:color w:val="0D0D0D" w:themeColor="text1" w:themeTint="F2"/>
          <w:lang w:val="sq-AL"/>
        </w:rPr>
        <w:t>IoAFP</w:t>
      </w:r>
      <w:proofErr w:type="spellEnd"/>
      <w:r w:rsidR="004572C1" w:rsidRPr="00741241">
        <w:rPr>
          <w:color w:val="0D0D0D" w:themeColor="text1" w:themeTint="F2"/>
          <w:lang w:val="sq-AL"/>
        </w:rPr>
        <w:t xml:space="preserve">-së komunikojnë sistematikisht me komunitetin vendas të biznesit. Për aftësimin praktik të kualifikimit, </w:t>
      </w:r>
      <w:proofErr w:type="spellStart"/>
      <w:r w:rsidR="004572C1" w:rsidRPr="00741241">
        <w:rPr>
          <w:color w:val="0D0D0D" w:themeColor="text1" w:themeTint="F2"/>
          <w:lang w:val="sq-AL"/>
        </w:rPr>
        <w:t>IoAFP</w:t>
      </w:r>
      <w:proofErr w:type="spellEnd"/>
      <w:r w:rsidR="004572C1" w:rsidRPr="00741241">
        <w:rPr>
          <w:color w:val="0D0D0D" w:themeColor="text1" w:themeTint="F2"/>
          <w:lang w:val="sq-AL"/>
        </w:rPr>
        <w:t xml:space="preserve"> vë në dispozicion mjedise të praktikës profesionale të specializuara  të tij dhe te bizneseve partnere sipas standardeve të profesioneve dhe standardeve të kualifikimeve profesio</w:t>
      </w:r>
      <w:r w:rsidR="00060167" w:rsidRPr="00741241">
        <w:rPr>
          <w:color w:val="0D0D0D" w:themeColor="text1" w:themeTint="F2"/>
          <w:lang w:val="sq-AL"/>
        </w:rPr>
        <w:t>nale por për njërin nga kualifikimet profesionale “</w:t>
      </w:r>
      <w:r w:rsidR="004572C1" w:rsidRPr="00741241">
        <w:rPr>
          <w:color w:val="0D0D0D" w:themeColor="text1" w:themeTint="F2"/>
          <w:lang w:val="sq-AL"/>
        </w:rPr>
        <w:t>Veterinari</w:t>
      </w:r>
      <w:r w:rsidR="00060167" w:rsidRPr="00741241">
        <w:rPr>
          <w:color w:val="0D0D0D" w:themeColor="text1" w:themeTint="F2"/>
          <w:lang w:val="sq-AL"/>
        </w:rPr>
        <w:t>”</w:t>
      </w:r>
      <w:r w:rsidR="004572C1" w:rsidRPr="00741241">
        <w:rPr>
          <w:color w:val="0D0D0D" w:themeColor="text1" w:themeTint="F2"/>
          <w:lang w:val="sq-AL"/>
        </w:rPr>
        <w:t xml:space="preserve"> mungojnë baza materiale e nevojshme për </w:t>
      </w:r>
      <w:r w:rsidR="00060167" w:rsidRPr="00741241">
        <w:rPr>
          <w:color w:val="0D0D0D" w:themeColor="text1" w:themeTint="F2"/>
          <w:lang w:val="sq-AL"/>
        </w:rPr>
        <w:t>realizimin e moduleve praktikes, për të cilin janë dhënë rekomandime përkatëse.</w:t>
      </w:r>
      <w:r w:rsidR="004572C1" w:rsidRPr="00741241">
        <w:rPr>
          <w:rFonts w:ascii="Arial" w:eastAsia="Arial" w:hAnsi="Arial" w:cs="Arial"/>
          <w:color w:val="0D0D0D" w:themeColor="text1" w:themeTint="F2"/>
          <w:sz w:val="20"/>
          <w:szCs w:val="20"/>
          <w:lang w:val="sq-AL"/>
        </w:rPr>
        <w:t xml:space="preserve"> </w:t>
      </w:r>
      <w:r w:rsidR="004572C1" w:rsidRPr="00741241">
        <w:rPr>
          <w:color w:val="0D0D0D" w:themeColor="text1" w:themeTint="F2"/>
          <w:lang w:val="sq-AL"/>
        </w:rPr>
        <w:t xml:space="preserve">Mbështetur në dokumentet e </w:t>
      </w:r>
      <w:proofErr w:type="spellStart"/>
      <w:r w:rsidR="004572C1" w:rsidRPr="00741241">
        <w:rPr>
          <w:color w:val="0D0D0D" w:themeColor="text1" w:themeTint="F2"/>
          <w:lang w:val="sq-AL"/>
        </w:rPr>
        <w:t>poshtërenditura</w:t>
      </w:r>
      <w:proofErr w:type="spellEnd"/>
      <w:r w:rsidR="004572C1" w:rsidRPr="00741241">
        <w:rPr>
          <w:color w:val="0D0D0D" w:themeColor="text1" w:themeTint="F2"/>
          <w:lang w:val="sq-AL"/>
        </w:rPr>
        <w:t xml:space="preserve"> dhe vizita në shkollë GVJ konstatoi se drejtoria e </w:t>
      </w:r>
      <w:proofErr w:type="spellStart"/>
      <w:r w:rsidR="004572C1" w:rsidRPr="00741241">
        <w:rPr>
          <w:color w:val="0D0D0D" w:themeColor="text1" w:themeTint="F2"/>
          <w:lang w:val="sq-AL"/>
        </w:rPr>
        <w:t>IoAFP</w:t>
      </w:r>
      <w:proofErr w:type="spellEnd"/>
      <w:r w:rsidR="004572C1" w:rsidRPr="00741241">
        <w:rPr>
          <w:color w:val="0D0D0D" w:themeColor="text1" w:themeTint="F2"/>
          <w:lang w:val="sq-AL"/>
        </w:rPr>
        <w:t>-së ka bërë përpjekje për të pasur komunikime të vazhdueshme me institucionet vendore. </w:t>
      </w:r>
      <w:r w:rsidR="00143125" w:rsidRPr="00741241">
        <w:rPr>
          <w:color w:val="0D0D0D" w:themeColor="text1" w:themeTint="F2"/>
          <w:lang w:val="sq-AL"/>
        </w:rPr>
        <w:t xml:space="preserve">Drejtoria e </w:t>
      </w:r>
      <w:proofErr w:type="spellStart"/>
      <w:r w:rsidR="00143125" w:rsidRPr="00741241">
        <w:rPr>
          <w:color w:val="0D0D0D" w:themeColor="text1" w:themeTint="F2"/>
          <w:lang w:val="sq-AL"/>
        </w:rPr>
        <w:t>IoAFP</w:t>
      </w:r>
      <w:proofErr w:type="spellEnd"/>
      <w:r w:rsidR="00143125" w:rsidRPr="00741241">
        <w:rPr>
          <w:color w:val="0D0D0D" w:themeColor="text1" w:themeTint="F2"/>
          <w:lang w:val="sq-AL"/>
        </w:rPr>
        <w:t>-së krijon partneritete zyrtare me institucionet arsimore kombëtare dhe ndërkombëtare, por jo për zhvillimin e përbashkët të programeve dhe përdorimin e përbashkët të burimeve (të ambienteve, të materialeve ndihmëse për mësimdhënien dhe materialeve mësimore, të stafit, të programeve për zhvillimin profesional të stafit, etj.) dhe ruan të dhëna mbi rezultatet e partneritetit.</w:t>
      </w:r>
    </w:p>
    <w:p w:rsidR="002D42DF" w:rsidRPr="00741241" w:rsidRDefault="002D42DF" w:rsidP="008A4F3A">
      <w:pPr>
        <w:pStyle w:val="NormalWeb"/>
        <w:spacing w:line="276" w:lineRule="auto"/>
        <w:jc w:val="both"/>
        <w:rPr>
          <w:lang w:val="sq-AL"/>
        </w:rPr>
      </w:pPr>
      <w:r w:rsidRPr="00741241">
        <w:rPr>
          <w:b/>
          <w:color w:val="0D0D0D" w:themeColor="text1" w:themeTint="F2"/>
          <w:u w:val="single"/>
          <w:lang w:val="sq-AL"/>
        </w:rPr>
        <w:t>Kriteri 2.1.2.4</w:t>
      </w:r>
      <w:r w:rsidRPr="00741241">
        <w:rPr>
          <w:color w:val="0D0D0D" w:themeColor="text1" w:themeTint="F2"/>
          <w:lang w:val="sq-AL"/>
        </w:rPr>
        <w:t xml:space="preserve"> “</w:t>
      </w:r>
      <w:r w:rsidRPr="00741241">
        <w:rPr>
          <w:i/>
          <w:color w:val="0D0D0D" w:themeColor="text1" w:themeTint="F2"/>
          <w:lang w:val="sq-AL"/>
        </w:rPr>
        <w:t>Drejtoria e ofruesit të AFP-së mbledh rregullisht informacione (</w:t>
      </w:r>
      <w:proofErr w:type="spellStart"/>
      <w:r w:rsidRPr="00741241">
        <w:rPr>
          <w:i/>
          <w:color w:val="0D0D0D" w:themeColor="text1" w:themeTint="F2"/>
          <w:lang w:val="sq-AL"/>
        </w:rPr>
        <w:t>feed</w:t>
      </w:r>
      <w:r w:rsidR="007F48CB">
        <w:rPr>
          <w:i/>
          <w:color w:val="0D0D0D" w:themeColor="text1" w:themeTint="F2"/>
          <w:lang w:val="sq-AL"/>
        </w:rPr>
        <w:t>-</w:t>
      </w:r>
      <w:r w:rsidRPr="00741241">
        <w:rPr>
          <w:i/>
          <w:color w:val="0D0D0D" w:themeColor="text1" w:themeTint="F2"/>
          <w:lang w:val="sq-AL"/>
        </w:rPr>
        <w:t>back</w:t>
      </w:r>
      <w:proofErr w:type="spellEnd"/>
      <w:r w:rsidRPr="00741241">
        <w:rPr>
          <w:i/>
          <w:color w:val="0D0D0D" w:themeColor="text1" w:themeTint="F2"/>
          <w:lang w:val="sq-AL"/>
        </w:rPr>
        <w:t xml:space="preserve">) nga institucionet e vetëqeverisjes vendore mbi veprimtarinë dhe rezultatet e ofruesit të AFP-së (edhe </w:t>
      </w:r>
      <w:r w:rsidRPr="00741241">
        <w:rPr>
          <w:i/>
          <w:color w:val="0D0D0D" w:themeColor="text1" w:themeTint="F2"/>
          <w:lang w:val="sq-AL"/>
        </w:rPr>
        <w:lastRenderedPageBreak/>
        <w:t xml:space="preserve">përmes anketave/pyetësorëve mbi kënaqësinë)” </w:t>
      </w:r>
      <w:r w:rsidRPr="00741241">
        <w:rPr>
          <w:b/>
          <w:lang w:val="sq-AL"/>
        </w:rPr>
        <w:t>rezulton i pa përmbushur</w:t>
      </w:r>
      <w:r w:rsidRPr="00741241">
        <w:rPr>
          <w:lang w:val="sq-AL"/>
        </w:rPr>
        <w:t>, mbështetur në vlerësimin e bërë nga GVJ në Raportin përfundimtar të Akreditimit</w:t>
      </w:r>
      <w:r w:rsidRPr="00741241">
        <w:rPr>
          <w:i/>
          <w:color w:val="0D0D0D" w:themeColor="text1" w:themeTint="F2"/>
          <w:lang w:val="sq-AL"/>
        </w:rPr>
        <w:t>.</w:t>
      </w:r>
    </w:p>
    <w:p w:rsidR="002D42DF" w:rsidRPr="00741241" w:rsidRDefault="002D42DF" w:rsidP="008A4F3A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D0D0D" w:themeColor="text1" w:themeTint="F2"/>
          <w:lang w:val="sq-AL"/>
        </w:rPr>
      </w:pPr>
      <w:r w:rsidRPr="00741241">
        <w:rPr>
          <w:b/>
          <w:color w:val="0D0D0D" w:themeColor="text1" w:themeTint="F2"/>
          <w:u w:val="single"/>
          <w:lang w:val="sq-AL"/>
        </w:rPr>
        <w:t>Kriteri 2.4.2.3</w:t>
      </w:r>
      <w:r w:rsidRPr="00741241">
        <w:rPr>
          <w:color w:val="0D0D0D" w:themeColor="text1" w:themeTint="F2"/>
          <w:lang w:val="sq-AL"/>
        </w:rPr>
        <w:t xml:space="preserve"> </w:t>
      </w:r>
      <w:r w:rsidRPr="00741241">
        <w:rPr>
          <w:i/>
          <w:color w:val="0D0D0D" w:themeColor="text1" w:themeTint="F2"/>
          <w:lang w:val="sq-AL"/>
        </w:rPr>
        <w:t>“Drejtoria e ofruesit të AFP-së krijon partneritete zyrtare me institucionet arsimore kombëtare dhe ndërkombëtare për zhvillimin e përbashkët të programeve dhe shfrytëzimin e përbashkët të burimeve (të ambienteve, të materialeve ndihmëse për mësimdhënien dhe materialeve mësimore, të stafit, të programeve për zhvillimin profesional të stafit, etj.) dhe ruan të dhëna mbi rezultatet e partneritetit”</w:t>
      </w:r>
      <w:r w:rsidRPr="00741241">
        <w:rPr>
          <w:color w:val="0D0D0D" w:themeColor="text1" w:themeTint="F2"/>
          <w:lang w:val="sq-AL"/>
        </w:rPr>
        <w:t xml:space="preserve"> </w:t>
      </w:r>
      <w:r w:rsidRPr="00741241">
        <w:rPr>
          <w:b/>
          <w:color w:val="0D0D0D" w:themeColor="text1" w:themeTint="F2"/>
          <w:lang w:val="sq-AL"/>
        </w:rPr>
        <w:t>rezulton i pa përmbushur</w:t>
      </w:r>
      <w:r w:rsidRPr="00741241">
        <w:rPr>
          <w:color w:val="0D0D0D" w:themeColor="text1" w:themeTint="F2"/>
          <w:lang w:val="sq-AL"/>
        </w:rPr>
        <w:t>, mbështetur në vlerësimin e bërë nga GVJ në Raportin përfundimtar të Akreditimit</w:t>
      </w:r>
      <w:r w:rsidRPr="00741241">
        <w:rPr>
          <w:i/>
          <w:color w:val="0D0D0D" w:themeColor="text1" w:themeTint="F2"/>
          <w:lang w:val="sq-AL"/>
        </w:rPr>
        <w:t>.</w:t>
      </w:r>
    </w:p>
    <w:p w:rsidR="00BA5873" w:rsidRPr="00741241" w:rsidRDefault="00BA5873" w:rsidP="008A4F3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5873" w:rsidRPr="00741241" w:rsidRDefault="00BA5873" w:rsidP="008A4F3A">
      <w:pPr>
        <w:shd w:val="clear" w:color="auto" w:fill="D0CECE" w:themeFill="background2" w:themeFillShade="E6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sz w:val="24"/>
          <w:szCs w:val="24"/>
          <w:lang w:val="sq-AL"/>
        </w:rPr>
        <w:t>Fusha 3 Kurrikula e zbatuar.</w:t>
      </w:r>
    </w:p>
    <w:p w:rsidR="008B51BB" w:rsidRPr="00741241" w:rsidRDefault="008B51BB" w:rsidP="008A4F3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sz w:val="24"/>
          <w:szCs w:val="24"/>
          <w:lang w:val="sq-AL"/>
        </w:rPr>
        <w:t xml:space="preserve">Shkolla harton </w:t>
      </w:r>
      <w:proofErr w:type="spellStart"/>
      <w:r w:rsidRPr="00741241">
        <w:rPr>
          <w:rFonts w:ascii="Times New Roman" w:hAnsi="Times New Roman" w:cs="Times New Roman"/>
          <w:sz w:val="24"/>
          <w:szCs w:val="24"/>
          <w:lang w:val="sq-AL"/>
        </w:rPr>
        <w:t>kurrikulën</w:t>
      </w:r>
      <w:proofErr w:type="spellEnd"/>
      <w:r w:rsidRPr="00741241">
        <w:rPr>
          <w:rFonts w:ascii="Times New Roman" w:hAnsi="Times New Roman" w:cs="Times New Roman"/>
          <w:sz w:val="24"/>
          <w:szCs w:val="24"/>
          <w:lang w:val="sq-AL"/>
        </w:rPr>
        <w:t xml:space="preserve"> në përputhje me kërkesat e </w:t>
      </w:r>
      <w:proofErr w:type="spellStart"/>
      <w:r w:rsidRPr="00741241">
        <w:rPr>
          <w:rFonts w:ascii="Times New Roman" w:hAnsi="Times New Roman" w:cs="Times New Roman"/>
          <w:sz w:val="24"/>
          <w:szCs w:val="24"/>
          <w:lang w:val="sq-AL"/>
        </w:rPr>
        <w:t>skeletkurrikave</w:t>
      </w:r>
      <w:proofErr w:type="spellEnd"/>
      <w:r w:rsidRPr="00741241">
        <w:rPr>
          <w:rFonts w:ascii="Times New Roman" w:hAnsi="Times New Roman" w:cs="Times New Roman"/>
          <w:sz w:val="24"/>
          <w:szCs w:val="24"/>
          <w:lang w:val="sq-AL"/>
        </w:rPr>
        <w:t xml:space="preserve"> të kualifikimeve </w:t>
      </w:r>
      <w:r w:rsidR="00C824BC" w:rsidRPr="00741241">
        <w:rPr>
          <w:rFonts w:ascii="Times New Roman" w:hAnsi="Times New Roman" w:cs="Times New Roman"/>
          <w:sz w:val="24"/>
          <w:szCs w:val="24"/>
          <w:lang w:val="sq-AL"/>
        </w:rPr>
        <w:t xml:space="preserve">profesionale </w:t>
      </w:r>
      <w:r w:rsidRPr="00741241">
        <w:rPr>
          <w:rFonts w:ascii="Times New Roman" w:hAnsi="Times New Roman" w:cs="Times New Roman"/>
          <w:sz w:val="24"/>
          <w:szCs w:val="24"/>
          <w:lang w:val="sq-AL"/>
        </w:rPr>
        <w:t xml:space="preserve">që shkolla ofron. Programet mësimore hartohen në bashkëpunim me departamentet përkatëse ose me ekipet </w:t>
      </w:r>
      <w:proofErr w:type="spellStart"/>
      <w:r w:rsidRPr="00741241">
        <w:rPr>
          <w:rFonts w:ascii="Times New Roman" w:hAnsi="Times New Roman" w:cs="Times New Roman"/>
          <w:sz w:val="24"/>
          <w:szCs w:val="24"/>
          <w:lang w:val="sq-AL"/>
        </w:rPr>
        <w:t>kurrikulare</w:t>
      </w:r>
      <w:proofErr w:type="spellEnd"/>
      <w:r w:rsidRPr="00741241">
        <w:rPr>
          <w:rFonts w:ascii="Times New Roman" w:hAnsi="Times New Roman" w:cs="Times New Roman"/>
          <w:sz w:val="24"/>
          <w:szCs w:val="24"/>
          <w:lang w:val="sq-AL"/>
        </w:rPr>
        <w:t>. Nxënësit nuk ndihen të ngarkuar nga mënyra e organizimit të orëve mësimore. Në shkollë ka burime të ndryshme për mësimdhënie</w:t>
      </w:r>
      <w:r w:rsidR="00060167" w:rsidRPr="00741241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741241">
        <w:rPr>
          <w:rFonts w:ascii="Times New Roman" w:hAnsi="Times New Roman" w:cs="Times New Roman"/>
          <w:sz w:val="24"/>
          <w:szCs w:val="24"/>
          <w:lang w:val="sq-AL"/>
        </w:rPr>
        <w:t xml:space="preserve"> dhe nxënien si: literaturë të ndryshme, bazë materiale për zhvillimin e praktikave profesionale etj. Infrastruktura IT, përdoret nga mësuesit po ka nevojë për përmirësim. In</w:t>
      </w:r>
      <w:r w:rsidR="00060167" w:rsidRPr="00741241">
        <w:rPr>
          <w:rFonts w:ascii="Times New Roman" w:hAnsi="Times New Roman" w:cs="Times New Roman"/>
          <w:sz w:val="24"/>
          <w:szCs w:val="24"/>
          <w:lang w:val="sq-AL"/>
        </w:rPr>
        <w:t>fra</w:t>
      </w:r>
      <w:r w:rsidRPr="00741241">
        <w:rPr>
          <w:rFonts w:ascii="Times New Roman" w:hAnsi="Times New Roman" w:cs="Times New Roman"/>
          <w:sz w:val="24"/>
          <w:szCs w:val="24"/>
          <w:lang w:val="sq-AL"/>
        </w:rPr>
        <w:t>struktura e shkollës është e përshtatshme për arritjen e rezultateve të pritshme të nxënies. Klasat</w:t>
      </w:r>
      <w:r w:rsidR="00AB713F" w:rsidRPr="00741241">
        <w:rPr>
          <w:rFonts w:ascii="Times New Roman" w:hAnsi="Times New Roman" w:cs="Times New Roman"/>
          <w:sz w:val="24"/>
          <w:szCs w:val="24"/>
          <w:lang w:val="sq-AL"/>
        </w:rPr>
        <w:t>, laboratorët, salla e</w:t>
      </w:r>
      <w:r w:rsidRPr="00741241">
        <w:rPr>
          <w:rFonts w:ascii="Times New Roman" w:hAnsi="Times New Roman" w:cs="Times New Roman"/>
          <w:sz w:val="24"/>
          <w:szCs w:val="24"/>
          <w:lang w:val="sq-AL"/>
        </w:rPr>
        <w:t xml:space="preserve"> konferencave janë vlerësuar dhe plotësuar. Mjediset e praktikës profesionale në shkollë janë funksionale por kanë nevojë </w:t>
      </w:r>
      <w:r w:rsidR="00AB713F" w:rsidRPr="00741241">
        <w:rPr>
          <w:rFonts w:ascii="Times New Roman" w:hAnsi="Times New Roman" w:cs="Times New Roman"/>
          <w:sz w:val="24"/>
          <w:szCs w:val="24"/>
          <w:lang w:val="sq-AL"/>
        </w:rPr>
        <w:t>për ristrukturim: Serrat janë të</w:t>
      </w:r>
      <w:r w:rsidRPr="00741241">
        <w:rPr>
          <w:rFonts w:ascii="Times New Roman" w:hAnsi="Times New Roman" w:cs="Times New Roman"/>
          <w:sz w:val="24"/>
          <w:szCs w:val="24"/>
          <w:lang w:val="sq-AL"/>
        </w:rPr>
        <w:t xml:space="preserve"> pa mbuluara, mungon ambienti i magazinimit t</w:t>
      </w:r>
      <w:r w:rsidR="007F48C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1241">
        <w:rPr>
          <w:rFonts w:ascii="Times New Roman" w:hAnsi="Times New Roman" w:cs="Times New Roman"/>
          <w:sz w:val="24"/>
          <w:szCs w:val="24"/>
          <w:lang w:val="sq-AL"/>
        </w:rPr>
        <w:t xml:space="preserve"> ushqimeve, </w:t>
      </w:r>
      <w:r w:rsidR="007F48CB" w:rsidRPr="00741241">
        <w:rPr>
          <w:rFonts w:ascii="Times New Roman" w:hAnsi="Times New Roman" w:cs="Times New Roman"/>
          <w:sz w:val="24"/>
          <w:szCs w:val="24"/>
          <w:lang w:val="sq-AL"/>
        </w:rPr>
        <w:t>vendqëndrimi</w:t>
      </w:r>
      <w:r w:rsidRPr="00741241">
        <w:rPr>
          <w:rFonts w:ascii="Times New Roman" w:hAnsi="Times New Roman" w:cs="Times New Roman"/>
          <w:sz w:val="24"/>
          <w:szCs w:val="24"/>
          <w:lang w:val="sq-AL"/>
        </w:rPr>
        <w:t xml:space="preserve"> i kafshëve (</w:t>
      </w:r>
      <w:proofErr w:type="spellStart"/>
      <w:r w:rsidRPr="00741241">
        <w:rPr>
          <w:rFonts w:ascii="Times New Roman" w:hAnsi="Times New Roman" w:cs="Times New Roman"/>
          <w:sz w:val="24"/>
          <w:szCs w:val="24"/>
          <w:lang w:val="sq-AL"/>
        </w:rPr>
        <w:t>padoku</w:t>
      </w:r>
      <w:proofErr w:type="spellEnd"/>
      <w:r w:rsidRPr="00741241">
        <w:rPr>
          <w:rFonts w:ascii="Times New Roman" w:hAnsi="Times New Roman" w:cs="Times New Roman"/>
          <w:sz w:val="24"/>
          <w:szCs w:val="24"/>
          <w:lang w:val="sq-AL"/>
        </w:rPr>
        <w:t xml:space="preserve">) është i pa mbuluar. Ambienti i përshtatur si klasë në Bazën eksperimentale është pa sistem ngrohjeje. </w:t>
      </w:r>
      <w:proofErr w:type="spellStart"/>
      <w:r w:rsidRPr="00741241">
        <w:rPr>
          <w:rFonts w:ascii="Times New Roman" w:hAnsi="Times New Roman" w:cs="Times New Roman"/>
          <w:sz w:val="24"/>
          <w:szCs w:val="24"/>
          <w:lang w:val="sq-AL"/>
        </w:rPr>
        <w:t>Matrikullimi</w:t>
      </w:r>
      <w:proofErr w:type="spellEnd"/>
      <w:r w:rsidRPr="00741241">
        <w:rPr>
          <w:rFonts w:ascii="Times New Roman" w:hAnsi="Times New Roman" w:cs="Times New Roman"/>
          <w:sz w:val="24"/>
          <w:szCs w:val="24"/>
          <w:lang w:val="sq-AL"/>
        </w:rPr>
        <w:t xml:space="preserve"> i kafshëve bujqësore (gjedh, dhen) nuk është bërë i plotë dhe nuk janë rinovuar kartelat përkatëse. Mungon baza materiale për realizimin e moduleve praktike në kualifikimin profesional “Veterinari”.</w:t>
      </w:r>
      <w:r w:rsidR="00AB713F" w:rsidRPr="00741241">
        <w:rPr>
          <w:rFonts w:ascii="Times New Roman" w:hAnsi="Times New Roman" w:cs="Times New Roman"/>
          <w:sz w:val="24"/>
          <w:szCs w:val="24"/>
          <w:lang w:val="sq-AL"/>
        </w:rPr>
        <w:t xml:space="preserve"> Për këto mangësi të konstatuara janë dhënë rekomandimet përkatëse.</w:t>
      </w:r>
    </w:p>
    <w:p w:rsidR="00BA5873" w:rsidRPr="00741241" w:rsidRDefault="00BA5873" w:rsidP="008A4F3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5873" w:rsidRPr="00741241" w:rsidRDefault="00BA5873" w:rsidP="008A4F3A">
      <w:pPr>
        <w:shd w:val="clear" w:color="auto" w:fill="E7E6E6" w:themeFill="background2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sz w:val="24"/>
          <w:szCs w:val="24"/>
          <w:lang w:val="sq-AL"/>
        </w:rPr>
        <w:t>Fusha 4 Mësimdhënia dhe të nxënit.</w:t>
      </w:r>
    </w:p>
    <w:p w:rsidR="008B51BB" w:rsidRPr="00741241" w:rsidRDefault="008B51BB" w:rsidP="008A4F3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color w:val="0D0D0D"/>
          <w:sz w:val="24"/>
          <w:szCs w:val="24"/>
          <w:lang w:val="sq-AL"/>
        </w:rPr>
        <w:t xml:space="preserve">Shkolla ofron mjedise të sigurta dhe të përshtatshme për zhvillimin e një procesi mësimor optimal. Mësuesit e shkollës janë të kualifikuar dhe kanë realizuar trajnime për zhvillimin profesional. Nga pyetësorët, intervistat me nxënësit dhe vëzhgimi i orëve mësimore konstatohet se mësuesit krijojnë një mjedis të sigurt dhe miqësor për nxënësit duke nxitur zhvillimin e mendimit kritik. Nxënësit e vlerësojnë ngarkesën të përballueshme dhe se mësuesit i mbështesin për të përmirësuar rezultatet e tyre. Planet mësimore janë të </w:t>
      </w:r>
      <w:r w:rsidR="006C69F8" w:rsidRPr="00741241">
        <w:rPr>
          <w:rFonts w:ascii="Times New Roman" w:eastAsia="Times New Roman" w:hAnsi="Times New Roman" w:cs="Times New Roman"/>
          <w:color w:val="0D0D0D"/>
          <w:sz w:val="24"/>
          <w:szCs w:val="24"/>
          <w:lang w:val="sq-AL"/>
        </w:rPr>
        <w:t xml:space="preserve">hartuara në përputhje me </w:t>
      </w:r>
      <w:proofErr w:type="spellStart"/>
      <w:r w:rsidR="006C69F8" w:rsidRPr="00741241">
        <w:rPr>
          <w:rFonts w:ascii="Times New Roman" w:eastAsia="Times New Roman" w:hAnsi="Times New Roman" w:cs="Times New Roman"/>
          <w:color w:val="0D0D0D"/>
          <w:sz w:val="24"/>
          <w:szCs w:val="24"/>
          <w:lang w:val="sq-AL"/>
        </w:rPr>
        <w:t>kurriku</w:t>
      </w:r>
      <w:r w:rsidRPr="00741241">
        <w:rPr>
          <w:rFonts w:ascii="Times New Roman" w:eastAsia="Times New Roman" w:hAnsi="Times New Roman" w:cs="Times New Roman"/>
          <w:color w:val="0D0D0D"/>
          <w:sz w:val="24"/>
          <w:szCs w:val="24"/>
          <w:lang w:val="sq-AL"/>
        </w:rPr>
        <w:t>l</w:t>
      </w:r>
      <w:r w:rsidR="006C69F8" w:rsidRPr="00741241">
        <w:rPr>
          <w:rFonts w:ascii="Times New Roman" w:eastAsia="Times New Roman" w:hAnsi="Times New Roman" w:cs="Times New Roman"/>
          <w:color w:val="0D0D0D"/>
          <w:sz w:val="24"/>
          <w:szCs w:val="24"/>
          <w:lang w:val="sq-AL"/>
        </w:rPr>
        <w:t>at</w:t>
      </w:r>
      <w:proofErr w:type="spellEnd"/>
      <w:r w:rsidRPr="00741241">
        <w:rPr>
          <w:rFonts w:ascii="Times New Roman" w:eastAsia="Times New Roman" w:hAnsi="Times New Roman" w:cs="Times New Roman"/>
          <w:color w:val="0D0D0D"/>
          <w:sz w:val="24"/>
          <w:szCs w:val="24"/>
          <w:lang w:val="sq-AL"/>
        </w:rPr>
        <w:t xml:space="preserve"> dhe sipas udhëzimeve zyrtare, por jo të gjithë mësuesit përcaktojnë rezultatet e të nxënit në fushën sociale dhe emocionale. Planifikohen veprimtari </w:t>
      </w:r>
      <w:proofErr w:type="spellStart"/>
      <w:r w:rsidRPr="00741241">
        <w:rPr>
          <w:rFonts w:ascii="Times New Roman" w:eastAsia="Times New Roman" w:hAnsi="Times New Roman" w:cs="Times New Roman"/>
          <w:color w:val="0D0D0D"/>
          <w:sz w:val="24"/>
          <w:szCs w:val="24"/>
          <w:lang w:val="sq-AL"/>
        </w:rPr>
        <w:t>ndërkurrikulare</w:t>
      </w:r>
      <w:proofErr w:type="spellEnd"/>
      <w:r w:rsidRPr="00741241">
        <w:rPr>
          <w:rFonts w:ascii="Times New Roman" w:eastAsia="Times New Roman" w:hAnsi="Times New Roman" w:cs="Times New Roman"/>
          <w:color w:val="0D0D0D"/>
          <w:sz w:val="24"/>
          <w:szCs w:val="24"/>
          <w:lang w:val="sq-AL"/>
        </w:rPr>
        <w:t xml:space="preserve"> për të lidhur konceptet e marra në disa fusha.  Shkolla ofron shërbimin e orientimit në karrierë dhe kjo është e publikuar në rrjetet sociale të saj. Nxënësit marrin pjesë në aktivitete të ndryshme </w:t>
      </w:r>
      <w:proofErr w:type="spellStart"/>
      <w:r w:rsidRPr="00741241">
        <w:rPr>
          <w:rFonts w:ascii="Times New Roman" w:eastAsia="Times New Roman" w:hAnsi="Times New Roman" w:cs="Times New Roman"/>
          <w:color w:val="0D0D0D"/>
          <w:sz w:val="24"/>
          <w:szCs w:val="24"/>
          <w:lang w:val="sq-AL"/>
        </w:rPr>
        <w:t>ndërkurrikulare</w:t>
      </w:r>
      <w:proofErr w:type="spellEnd"/>
      <w:r w:rsidRPr="00741241">
        <w:rPr>
          <w:rFonts w:ascii="Times New Roman" w:eastAsia="Times New Roman" w:hAnsi="Times New Roman" w:cs="Times New Roman"/>
          <w:color w:val="0D0D0D"/>
          <w:sz w:val="24"/>
          <w:szCs w:val="24"/>
          <w:lang w:val="sq-AL"/>
        </w:rPr>
        <w:t xml:space="preserve"> që kanë </w:t>
      </w:r>
      <w:r w:rsidRPr="00741241">
        <w:rPr>
          <w:rFonts w:ascii="Times New Roman" w:eastAsia="Times New Roman" w:hAnsi="Times New Roman" w:cs="Times New Roman"/>
          <w:color w:val="0D0D0D"/>
          <w:sz w:val="24"/>
          <w:szCs w:val="24"/>
          <w:lang w:val="sq-AL"/>
        </w:rPr>
        <w:lastRenderedPageBreak/>
        <w:t xml:space="preserve">në fokus </w:t>
      </w:r>
      <w:proofErr w:type="spellStart"/>
      <w:r w:rsidRPr="00741241">
        <w:rPr>
          <w:rFonts w:ascii="Times New Roman" w:eastAsia="Times New Roman" w:hAnsi="Times New Roman" w:cs="Times New Roman"/>
          <w:color w:val="0D0D0D"/>
          <w:sz w:val="24"/>
          <w:szCs w:val="24"/>
          <w:lang w:val="sq-AL"/>
        </w:rPr>
        <w:t>gjithëpërfshirjen</w:t>
      </w:r>
      <w:proofErr w:type="spellEnd"/>
      <w:r w:rsidRPr="00741241">
        <w:rPr>
          <w:rFonts w:ascii="Times New Roman" w:eastAsia="Times New Roman" w:hAnsi="Times New Roman" w:cs="Times New Roman"/>
          <w:color w:val="0D0D0D"/>
          <w:sz w:val="24"/>
          <w:szCs w:val="24"/>
          <w:lang w:val="sq-AL"/>
        </w:rPr>
        <w:t>. Klasat janë të përshtatshme për zhvil</w:t>
      </w:r>
      <w:r w:rsidR="006B674B" w:rsidRPr="00741241">
        <w:rPr>
          <w:rFonts w:ascii="Times New Roman" w:eastAsia="Times New Roman" w:hAnsi="Times New Roman" w:cs="Times New Roman"/>
          <w:color w:val="0D0D0D"/>
          <w:sz w:val="24"/>
          <w:szCs w:val="24"/>
          <w:lang w:val="sq-AL"/>
        </w:rPr>
        <w:t>limin normal të mësimit por ambi</w:t>
      </w:r>
      <w:r w:rsidRPr="00741241">
        <w:rPr>
          <w:rFonts w:ascii="Times New Roman" w:eastAsia="Times New Roman" w:hAnsi="Times New Roman" w:cs="Times New Roman"/>
          <w:color w:val="0D0D0D"/>
          <w:sz w:val="24"/>
          <w:szCs w:val="24"/>
          <w:lang w:val="sq-AL"/>
        </w:rPr>
        <w:t>entet e bazës eksperimentale janë pa sistem ngrohje.</w:t>
      </w:r>
    </w:p>
    <w:p w:rsidR="004D0BFB" w:rsidRPr="00741241" w:rsidRDefault="004D0BFB" w:rsidP="008A4F3A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A5873" w:rsidRPr="00741241" w:rsidRDefault="00BA5873" w:rsidP="008A4F3A">
      <w:pPr>
        <w:shd w:val="clear" w:color="auto" w:fill="D0CECE" w:themeFill="background2" w:themeFillShade="E6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sz w:val="24"/>
          <w:szCs w:val="24"/>
          <w:lang w:val="sq-AL"/>
        </w:rPr>
        <w:t>Fusha 5 Vlerësimi.</w:t>
      </w:r>
    </w:p>
    <w:p w:rsidR="00A67716" w:rsidRPr="00741241" w:rsidRDefault="004D0BFB" w:rsidP="008A4F3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sz w:val="24"/>
          <w:szCs w:val="24"/>
          <w:lang w:val="sq-AL"/>
        </w:rPr>
        <w:t>Mësimdhënësit e shkollës planifikojnë in</w:t>
      </w:r>
      <w:r w:rsidR="006B674B" w:rsidRPr="00741241">
        <w:rPr>
          <w:rFonts w:ascii="Times New Roman" w:hAnsi="Times New Roman" w:cs="Times New Roman"/>
          <w:sz w:val="24"/>
          <w:szCs w:val="24"/>
          <w:lang w:val="sq-AL"/>
        </w:rPr>
        <w:t>strument</w:t>
      </w:r>
      <w:r w:rsidR="007F48CB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6B674B" w:rsidRPr="00741241">
        <w:rPr>
          <w:rFonts w:ascii="Times New Roman" w:hAnsi="Times New Roman" w:cs="Times New Roman"/>
          <w:sz w:val="24"/>
          <w:szCs w:val="24"/>
          <w:lang w:val="sq-AL"/>
        </w:rPr>
        <w:t xml:space="preserve"> vlerësuese, të cilat i</w:t>
      </w:r>
      <w:r w:rsidRPr="00741241">
        <w:rPr>
          <w:rFonts w:ascii="Times New Roman" w:hAnsi="Times New Roman" w:cs="Times New Roman"/>
          <w:sz w:val="24"/>
          <w:szCs w:val="24"/>
          <w:lang w:val="sq-AL"/>
        </w:rPr>
        <w:t>u prezantohen nxënësve paraprakisht. Përdoren instrument</w:t>
      </w:r>
      <w:r w:rsidR="007F48CB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741241">
        <w:rPr>
          <w:rFonts w:ascii="Times New Roman" w:hAnsi="Times New Roman" w:cs="Times New Roman"/>
          <w:sz w:val="24"/>
          <w:szCs w:val="24"/>
          <w:lang w:val="sq-AL"/>
        </w:rPr>
        <w:t xml:space="preserve"> të ndryshëm dhe nxënësi motivohet në mënyrë të vazhdueshme për përmirësim. Rezultatet e provimeve të nivelit janë pozitive. Pjesë e komisioneve janë gjithashtu përfaqësues të biznesit duke simuluar kushte reale me ato të biznesit. Në shkollë zhvillohet paraprovimi i Maturës Shtetërore Profesionale për të parapërgatitur nxënësit, kurse provimet e Maturës Shtetërore zhvillohen në një shkollë tjetër. Nxënësit nuk kanë shumë diferenca nga rezultatet e vlerësimit të vazhduar dhe atij përfundimtar. Shkolla zotëron një formular ankimimi, por nuk ka asnjë rast ankimimi.</w:t>
      </w:r>
    </w:p>
    <w:p w:rsidR="00E21AE2" w:rsidRPr="00741241" w:rsidRDefault="00E21AE2" w:rsidP="008A4F3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5873" w:rsidRPr="00741241" w:rsidRDefault="00BA5873" w:rsidP="008A4F3A">
      <w:pPr>
        <w:numPr>
          <w:ilvl w:val="0"/>
          <w:numId w:val="6"/>
        </w:numPr>
        <w:shd w:val="clear" w:color="auto" w:fill="FFFFFF" w:themeFill="background1"/>
        <w:spacing w:after="0" w:line="276" w:lineRule="auto"/>
        <w:ind w:hanging="63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REKOMANDIMET E RAPORTIT PËRFUNDIMTAR</w:t>
      </w:r>
    </w:p>
    <w:p w:rsidR="00BA5873" w:rsidRPr="00741241" w:rsidRDefault="00BA5873" w:rsidP="008A4F3A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E21AE2" w:rsidRPr="00741241" w:rsidRDefault="0029659B" w:rsidP="008A4F3A">
      <w:pPr>
        <w:pStyle w:val="NoSpacing"/>
        <w:shd w:val="clear" w:color="auto" w:fill="E7E6E6" w:themeFill="background2"/>
        <w:spacing w:line="276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>Fusha 1 Menaxhimi</w:t>
      </w:r>
    </w:p>
    <w:p w:rsidR="00E21AE2" w:rsidRPr="00741241" w:rsidRDefault="00E21AE2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Rekomandimi 1 (Kriter bazë 1.1.1.1)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>Në vitin shkollor 2023-2024 e në vijim në komisionin e ardhshëm të shëndetit, sigurisë, mirëmbajtjes dhe mjedisit, nxënësi të jetë nga qeveria e nxënësve.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Rekomandimi 2 (Kriter bazë 1.1.1.1)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Në vitin shkollor 2023-2024 e në vijim të dokumentohet zgjedhja e anëtarëve të Këshillit të Etikës dhe Sjelljes sipas nenit 53 pikës 8, 9, 10, të udhëzimit nr. 14, datë 27.5.2021 </w:t>
      </w:r>
      <w:r w:rsidRPr="00741241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sq-AL"/>
        </w:rPr>
        <w:t>“Për mënyrën e organizimit dhe veprimtarisë së institucioneve të arsimit dhe formimit profesional, si dhe aspektet e menaxhimit të burimeve njerëzore, përbërjes së njësisë së zhvillimit të ofruesve të arsimit dhe formimit profesional dhe zhvillimit të vazhduar profesional të personelit”,</w:t>
      </w: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të ndryshuar. 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 w:themeFill="background1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 w:themeFill="background1"/>
          <w:lang w:val="sq-AL"/>
        </w:rPr>
        <w:t>Rekomandimi 3</w:t>
      </w: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 xml:space="preserve"> (Kriter bazë 1.1.1.2)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 w:themeFill="background1"/>
          <w:lang w:val="sq-AL"/>
        </w:rPr>
      </w:pP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 w:themeFill="background1"/>
          <w:lang w:val="sq-AL"/>
        </w:rPr>
        <w:t xml:space="preserve">Brenda vitit shkollor 2023-2024 të përmirësohet dokumentacioni i veprimtarisë dhe kontributit të përfaqësuesve të grupeve të interesit duke i publikuar vendimet e tyre edhe në </w:t>
      </w:r>
      <w:proofErr w:type="spellStart"/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 w:themeFill="background1"/>
          <w:lang w:val="sq-AL"/>
        </w:rPr>
        <w:t>web</w:t>
      </w:r>
      <w:proofErr w:type="spellEnd"/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 w:themeFill="background1"/>
          <w:lang w:val="sq-AL"/>
        </w:rPr>
        <w:t xml:space="preserve">. 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 w:themeFill="background1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 w:themeFill="background1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 w:themeFill="background1"/>
          <w:lang w:val="sq-AL"/>
        </w:rPr>
        <w:t xml:space="preserve">Rekomandimi 4 </w:t>
      </w: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 xml:space="preserve"> (Kriter bazë 1.1.1.2)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 w:themeFill="background1"/>
          <w:lang w:val="sq-AL"/>
        </w:rPr>
      </w:pP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 w:themeFill="background1"/>
          <w:lang w:val="sq-AL"/>
        </w:rPr>
        <w:t>Në mbledhjet e Bordit drejtues duhet të firmosin edhe pjesëtarët e tjerë të bordit në procesverbalet e takimeve, gjatë vitit shkollor 2023-2024 e në vijim.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 w:themeFill="background1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 w:themeFill="background1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 w:themeFill="background1"/>
          <w:lang w:val="sq-AL"/>
        </w:rPr>
        <w:t>Rekomandimi 5</w:t>
      </w: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 xml:space="preserve"> (Kriter bazë 1.1.1.2)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lastRenderedPageBreak/>
        <w:t>Në përfundim të vitit shkollor 2023 - 2024 e në vijim Komisioni i Etikës dhe Sjelljes të hartojë raportin vjetor të veprimtarisë së tij dhe t’ia paraqesë drejtorit të ofruesit të AFP-së.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Rekomandimi 6</w:t>
      </w: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(Kriter plotësues 1.1.1.4)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>Të publikohen në rrjete sociale aktivitetet e hartimit të planeve afatmesme dhe vjetore dhe rezultatet e mbledhjeve të Këshillit të Prindërve dhe Bordit të shkollës.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Rekomandimi 7</w:t>
      </w: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(Kriter plotësues 1.1.2.3)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>Gjatë vitit shkollor 2023-2024 e në vijim të publikohen në rrjete sociale rezultatet e funksionimit të Bordit të shkollës, Këshillit të Prindërve dhe Këshillit të Mësuesve.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Rekomandimi 8 (Kriter bazë 1.2.1.3)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>Në planin afatmesëm të ardhshëm të vlerësohen të dhëna që kanë të bëjnë me ekonominë kombëtare në të gjitha kualifikimet profesionale që shkolla ofron.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Rekomandimi 9  (Kriter bazë 1.2.2.1)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>Grupi i planifikimit dhe monitorimit të planit vjetor 2023-2024 të ketë në përbërje të tij drejtorin, nëndrejtorët, përgjegjësin e Njësisë së Zhvillimit, përgjegjësit e departamenteve, përgjegjësin e sektorit të financës, përgjegjësin e burimeve njerëzore dhe informacionit apo personat që ushtrojnë detyrat e përcaktuara për këto role, sipas Udhëzimit nr. 14, datë 27.5.2021, të ndryshuar.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Rekomandimi 10 (Kriter bazë 1.2.2.1)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>Plani vjetor 2023-2024 e në vazhdim të firmoset nga kryetari i Bordit sipas Nenit 10, pika 6, të udhëzimit nr. 14, datë 27.5.2021</w:t>
      </w:r>
      <w:r w:rsidR="00DB0432"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>, të ndryshuar</w:t>
      </w: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>.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Rekomandimi 11</w:t>
      </w: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(Kriter plotësues 1.2.3.3)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>Metodologjitë, procedurat dhe instrumentet për monitorimin dhe vlerësimin e proceseve të mësimdhënies dhe të nxënies, si dhe të rezultateve të tyre, të përfshijnë intervistat / pyetësorët për mësimdhënësit dhe nxënësit për vitin shkollor 2023-2024 e në vazhdim.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Rekomandimi 12</w:t>
      </w: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(Kriter plotësues 1.2.3.5)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>Gjatë vitit shkollor 2023-2024 e në vijim mësimdhënësit të përmirësojnë planin individual për monitorimin dhe vlerësimin ku të integrojnë masat e marra për të përmirësuar frekuentimin dhe rezultatet (në rastet që është e nevojshme).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Rekomandimi 13  (Kriter bazë 1.4.1.6)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q-AL"/>
        </w:rPr>
      </w:pP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q-AL"/>
        </w:rPr>
        <w:t>Raporti i vetëvlerësimit i vitit shkollor 2022-2023 të publikohet në rrjetet sociale të shkollës.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Rekomandimi 14 (Kriter bazë 1.4.2.1)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q-AL"/>
        </w:rPr>
        <w:lastRenderedPageBreak/>
        <w:t xml:space="preserve">Plani i përmirësimit të cilësisë të jetë pjesë e raportit të vetëvlerësimit të ngarkuar </w:t>
      </w:r>
      <w:proofErr w:type="spellStart"/>
      <w:r w:rsidRPr="0074124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q-AL"/>
        </w:rPr>
        <w:t>elektronikisht</w:t>
      </w:r>
      <w:proofErr w:type="spellEnd"/>
      <w:r w:rsidRPr="0074124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në </w:t>
      </w:r>
      <w:r w:rsidRPr="00741241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val="sq-AL"/>
        </w:rPr>
        <w:t>svet.al</w:t>
      </w:r>
      <w:r w:rsidRPr="0074124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në vitin e ardhshëm e në vazhdim.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 xml:space="preserve">Rekomandimi 15 </w:t>
      </w: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>(Kriter plotësues 1.4.2.3)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Gjatë zhvillimit të procesit të vetëvlerësimit për vitin shkollor 2022-2023, në planin e përmirësimit të cilësisë të konsiderohen edhe rezultatet e monitorimit dhe vlerësimit të jashtëm, të dhënat për </w:t>
      </w:r>
      <w:proofErr w:type="spellStart"/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>destinacionin</w:t>
      </w:r>
      <w:proofErr w:type="spellEnd"/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e të diplomuarve/të certifikuarve.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Rekomandimi 16</w:t>
      </w: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(Kriter plotësues 1.5.1.6)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>Të firmosen vlerësimet e brendshme vjetore nga stafi nga viti shkollor 2023-2024 e në vazhdim.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Rekomandimi 17</w:t>
      </w: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</w:t>
      </w:r>
      <w:r w:rsidRPr="0074124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>(Kriter plotësues 1.5.1.7 i pa</w:t>
      </w:r>
      <w:r w:rsidR="007F48CB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 xml:space="preserve"> </w:t>
      </w:r>
      <w:r w:rsidRPr="0074124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>përmbushur)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>Vlerësimi individual i stafit mësimdhënës dhe jo mësimdhënës të lidhet me nivelin e arritjeve të synimeve strategjike, të aktiviteteve, treguesve të përcaktuar në planin afatmesëm 2021-2025 dhe planin vjetor për vitin shkollor 2023-2024.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Rekomandimi 18</w:t>
      </w: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(Kriter plotësues 1.5.1.8) 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>Në vlerësimin e personelit mësimdhënës dhe jo mësimdhënës në vitin shkollor 2023-2024 e në vazhdim të përfshihen kritere që lidhen me mirëqenien e nxënësve.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Rekomandimi 19</w:t>
      </w: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</w:t>
      </w:r>
      <w:r w:rsidRPr="0074124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>(Kriter plotësues 1.5.3.1 i pa</w:t>
      </w:r>
      <w:r w:rsidR="007F48CB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 xml:space="preserve"> </w:t>
      </w:r>
      <w:r w:rsidRPr="0074124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>përmbushur)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>Brenda vitit shkollor 2023-2024 të përfshihet në "Bibliotekën e praktikave më të mira", edhe metodika të mira të mësimdhënies dhe të nxënies, jo vetëm produkte të nxënësve.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Rekomandimi 20</w:t>
      </w: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</w:t>
      </w:r>
      <w:r w:rsidRPr="0074124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 xml:space="preserve">(Kriter plotësues </w:t>
      </w:r>
      <w:r w:rsidRPr="0074124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 xml:space="preserve">1.5.3.2 </w:t>
      </w:r>
      <w:r w:rsidRPr="0074124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>i pa</w:t>
      </w:r>
      <w:r w:rsidR="007F48CB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 xml:space="preserve"> </w:t>
      </w:r>
      <w:r w:rsidRPr="0074124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>përmbushur)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>Praktikat dhe shembujt nga inventari i praktikave të mira të përdoren për të përmirësuar menaxhimin dhe proceset e mësimdhënies dhe të nxënit në shkollë.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 xml:space="preserve">Rekomandimi 21 </w:t>
      </w:r>
      <w:r w:rsidRPr="0074124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>(Kriter plotësues 1.6.1.5 i pa</w:t>
      </w:r>
      <w:r w:rsidR="007F48CB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 xml:space="preserve"> </w:t>
      </w:r>
      <w:r w:rsidRPr="0074124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>përmbushur)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>Shkolla të planifikojë në projekt buxhetin e ardhshëm zërin për mbështetje financiare të programeve të zhvillimit profesional të nivelit drejtues për stafin mësimdhënës dhe jo mësimdhënës.</w:t>
      </w:r>
    </w:p>
    <w:p w:rsidR="00B455B7" w:rsidRPr="00741241" w:rsidRDefault="00B455B7" w:rsidP="008A4F3A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Rekomandimi 22 (Kriter bazë 1.6.2.2)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Brenda vitit shkollor 2023-2024 drejtoria e </w:t>
      </w:r>
      <w:proofErr w:type="spellStart"/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>IoAFP</w:t>
      </w:r>
      <w:proofErr w:type="spellEnd"/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-së të krijojë procedura të plota dhe transparente për krijimin e të ardhurave dhe përdorimin e burimeve financiare si dhe të ketë procedura të qarta për mënyrën e përdorimit të naftës, </w:t>
      </w:r>
      <w:proofErr w:type="spellStart"/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>peletes</w:t>
      </w:r>
      <w:proofErr w:type="spellEnd"/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etj.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pStyle w:val="NoSpacing"/>
        <w:shd w:val="clear" w:color="auto" w:fill="E7E6E6" w:themeFill="background2"/>
        <w:spacing w:line="276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>Fusha 2. Marrëdhënia dhe bashkëpunimi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lastRenderedPageBreak/>
        <w:t>Rekomandimi 23</w:t>
      </w: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</w:t>
      </w:r>
      <w:r w:rsidRPr="0074124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>(Kriter plotësues 2.1.2.4 i pa</w:t>
      </w:r>
      <w:r w:rsidR="009824C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 xml:space="preserve"> </w:t>
      </w:r>
      <w:r w:rsidRPr="0074124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>përmbushur)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>Drejtoria e ofruesit të mbledhë informacione sistematike nga institucionet e vetëqeverisjes vendore mbi veprimtarinë dhe rezultatet e ofruesit të AFP-së (edhe përmes anketave mbi kënaqësinë për vitin shkollor 2023-2024).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Rekomandimi 24 (Kriter bazë 2.2.1.1)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>Partnerët dhe komuniteti vendas i biznesit të identifikohen qartë në planin afatmesëm të ardhshëm dhe në planin vjetor 2023-2024.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Rekomandimi 25 (Kriter bazë 2.3.1.1)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>Grupet e interesit dhe partnerët nga komuniteti vendas dhe shoqëria civile, të identifikohen më qartë në planin afatmesëm dhe planin vjetor të ardhshëm.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Rekomandimi 26</w:t>
      </w: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(Kriter plotësues 2.3.1.6) 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>Duke filluar nga viti shkollor 2023-2024 dhe në vijim, të dokumentohen informacionet e marra nga grupet vendase të interesit, komuniteti vendas dhe shoqëria civile mbi veprimtarinë dhe rezultatet e shkollës.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Rekomandimi 27</w:t>
      </w: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(Kriter plotësues 2.4.1.1) 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>Partnerët, ofruesit kombëtarë dhe ndërkombëtarë të AFP-së, të identifikohen duke u listuar qartë në planin afatmesëm të ardhshëm dhe në planin vjetor 2023-2024.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Rekomandimi 28</w:t>
      </w: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(Kriter plotësues 2.4.1.3) 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Brenda vitit shkollor 2023-2024, shkolla të krijojë dosjen me rezultatet e bashkëpunimet me partnerë kombëtarë dhe ndërkombëtarë dhe t’i bëjë publike në faqet e </w:t>
      </w:r>
      <w:proofErr w:type="spellStart"/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>web</w:t>
      </w:r>
      <w:proofErr w:type="spellEnd"/>
      <w:r w:rsidR="009824C9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>-</w:t>
      </w: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>it të shkollës dhe në mjediset e brendshme të shkollës.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Rekomandimi 29</w:t>
      </w:r>
      <w:r w:rsidRPr="0074124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</w:t>
      </w: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(Kriter plotësues </w:t>
      </w:r>
      <w:r w:rsidRPr="0074124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q-AL"/>
        </w:rPr>
        <w:t>2.4.2.1.</w:t>
      </w: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) 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Në planin afatmesëm pasardhës dhe në planin vjetor 2023-2024 të identifikohen qartë institucionet arsimore kombëtare dhe ndërkombëtare, </w:t>
      </w:r>
      <w:sdt>
        <w:sdtPr>
          <w:rPr>
            <w:rFonts w:ascii="Times New Roman" w:hAnsi="Times New Roman" w:cs="Times New Roman"/>
            <w:color w:val="0D0D0D" w:themeColor="text1" w:themeTint="F2"/>
            <w:sz w:val="24"/>
            <w:szCs w:val="24"/>
            <w:lang w:val="sq-AL"/>
          </w:rPr>
          <w:tag w:val="goog_rdk_149"/>
          <w:id w:val="741988832"/>
        </w:sdtPr>
        <w:sdtEndPr/>
        <w:sdtContent/>
      </w:sdt>
      <w:r w:rsidRPr="0074124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veçanërisht institucionet arsimore prej të cilave ofruesi i AFP-së regjistron nxënës dhe ato ku të diplomuarit e ofruesit të AFP-së do të vijojnë arsimimin e tyre. 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Rekomandimi 30</w:t>
      </w:r>
      <w:r w:rsidRPr="0074124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 xml:space="preserve"> </w:t>
      </w: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(Kriter plotësues 2.4.2.3 i pa</w:t>
      </w:r>
      <w:r w:rsidR="009824C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 xml:space="preserve"> </w:t>
      </w: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përmbushur)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 xml:space="preserve">Nga viti shkollor 2023-2024 e në vazhdim  partneritetet të jenë me fokus edhe për zhvillimin e përbashkët të programeve dhe shfrytëzimin e burimeve (të materialeve ndihmëse për mësimdhënien dhe materialeve mësimore). 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Rekomandimi 31</w:t>
      </w:r>
      <w:r w:rsidRPr="0074124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 xml:space="preserve"> </w:t>
      </w: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(Kriter plotësues 2.4.2.3 i pa</w:t>
      </w:r>
      <w:r w:rsidR="009824C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 xml:space="preserve"> </w:t>
      </w: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përmbushur)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lastRenderedPageBreak/>
        <w:t>Nga viti shkollor 2023-2024 e në vazhdim rezultatet e partneriteteve zyrtare me institucionet arsimore kombëtare dhe ndërkombëtare</w:t>
      </w: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 xml:space="preserve"> </w:t>
      </w:r>
      <w:r w:rsidRPr="0074124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të dokumentohen dhe të publikohen.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pStyle w:val="NoSpacing"/>
        <w:shd w:val="clear" w:color="auto" w:fill="E7E6E6" w:themeFill="background2"/>
        <w:spacing w:line="276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>Fusha 3  Kurrikula e zbatuar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Rekomandimi 32</w:t>
      </w: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(Kriter plotësues 3.2.1.2)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>Rekomandohet që shkolla të ndërmarrë procedurat për sigurimin e më shumë pajisje</w:t>
      </w:r>
      <w:r w:rsidR="00E77170"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>ve</w:t>
      </w: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të teknologjisë së informacionit dhe komunikimit dhe programe kompjuterike deri në qershor 2025.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Rekomandimi 33</w:t>
      </w: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(Kriter plotësues 3.2.1.2)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>Brenda vitit shkollor 2023-2024 të gjithë mësimdhënësit  të përcaktojnë edhe rezultatet e të nxënit në fushën sociale dhe emocionale.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Rekomandimi 34</w:t>
      </w: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</w:t>
      </w: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(Kriteret bazë 3.2.2.1 dhe 3.2.2.2)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Brenda muajit qershor 2024 të realizohet </w:t>
      </w:r>
      <w:proofErr w:type="spellStart"/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>matriku</w:t>
      </w:r>
      <w:r w:rsidR="009824C9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>llimi</w:t>
      </w:r>
      <w:proofErr w:type="spellEnd"/>
      <w:r w:rsidR="009824C9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i kafshëve, mbulimi i ser</w:t>
      </w: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ave dhe </w:t>
      </w:r>
      <w:proofErr w:type="spellStart"/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>padokut</w:t>
      </w:r>
      <w:proofErr w:type="spellEnd"/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të kafshëve si dhe të krijohet vendi për magazinimin e ushqimit. 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Rekomandimi 35</w:t>
      </w: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</w:t>
      </w: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(Kriter bazë 3.2.2.2)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Brenda afatit kohor qershor 2024, në bashkëpunim me shërbimin veterinar të realizohen programet vjetore të profilaksisë veterinare në kafshë. 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shd w:val="clear" w:color="auto" w:fill="E7E6E6" w:themeFill="background2"/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>Fusha 4. Mësimdhënia dhe të nxënit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Rekomandimi 36 (Kriter bazë 4.2.1.2)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>Në planet vjetore të mësimdhënies dhe në planifikimin ditor të vitit shkollor 2023-2024 dhe në vijim në rezultatet e të nxënit të plotësojnë kriterin SMART duke shtuar afatin kohor.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Rekomandimi 37</w:t>
      </w: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(Kriter plotësues 4.5.1.5)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>Të krijohet sistemi i ngrohjes në ambientin e përshtatur si klasë në bazën eksperimentale brenda muajit qe</w:t>
      </w:r>
      <w:r w:rsidR="00E77170"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>r</w:t>
      </w: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>shor 2024.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shd w:val="clear" w:color="auto" w:fill="E7E6E6" w:themeFill="background2"/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sq-AL"/>
        </w:rPr>
        <w:t>Fusha 5. Vlerësimi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Rekomandimi 38</w:t>
      </w: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(Kriter plotësues 5.1.3.3)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Brenda vitit shkollor 2023-2024 e në vazhdim </w:t>
      </w:r>
      <w:r w:rsidR="009824C9" w:rsidRPr="0074124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q-AL"/>
        </w:rPr>
        <w:t>p</w:t>
      </w:r>
      <w:r w:rsidR="009824C9"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>ortofolat</w:t>
      </w:r>
      <w:r w:rsidRPr="00741241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e nxënësve të përmbajnë CV-në e tyre.</w:t>
      </w:r>
    </w:p>
    <w:p w:rsidR="0029659B" w:rsidRPr="00741241" w:rsidRDefault="0029659B" w:rsidP="008A4F3A">
      <w:pPr>
        <w:pStyle w:val="NoSpacing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</w:pPr>
    </w:p>
    <w:p w:rsidR="0029659B" w:rsidRPr="00741241" w:rsidRDefault="0029659B" w:rsidP="008A4F3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Rekomandimi 39</w:t>
      </w:r>
      <w:r w:rsidRPr="0074124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</w:t>
      </w:r>
      <w:r w:rsidRPr="0074124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sq-AL"/>
        </w:rPr>
        <w:t>(Kriter bazë 5.1.7.1)</w:t>
      </w:r>
    </w:p>
    <w:p w:rsidR="00B455B7" w:rsidRPr="00741241" w:rsidRDefault="0029659B" w:rsidP="008A4F3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q-AL"/>
        </w:rPr>
        <w:t>Brenda vitit shkollor 2023-2024 e në vazhdim prindërit të informohen për kriteret, metodat, instrumentet dhe afatet kohore për vlerësimin e vazhduar dhe përfundimtar.</w:t>
      </w:r>
    </w:p>
    <w:p w:rsidR="00BA5873" w:rsidRDefault="00BA5873" w:rsidP="008A4F3A">
      <w:pPr>
        <w:shd w:val="clear" w:color="auto" w:fill="FFFFFF" w:themeFill="background1"/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9824C9" w:rsidRPr="00741241" w:rsidRDefault="009824C9" w:rsidP="008A4F3A">
      <w:pPr>
        <w:shd w:val="clear" w:color="auto" w:fill="FFFFFF" w:themeFill="background1"/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BA5873" w:rsidRPr="00741241" w:rsidRDefault="00BA5873" w:rsidP="008A4F3A">
      <w:pPr>
        <w:numPr>
          <w:ilvl w:val="0"/>
          <w:numId w:val="6"/>
        </w:numPr>
        <w:shd w:val="clear" w:color="auto" w:fill="FFFFFF" w:themeFill="background1"/>
        <w:spacing w:after="0" w:line="276" w:lineRule="auto"/>
        <w:ind w:hanging="63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4124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lastRenderedPageBreak/>
        <w:t>VENDIMI PËR AKREDITIM</w:t>
      </w:r>
    </w:p>
    <w:p w:rsidR="00BA5873" w:rsidRPr="00741241" w:rsidRDefault="00BA5873" w:rsidP="008A4F3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F28A8" w:rsidRPr="00741241" w:rsidRDefault="003F28A8" w:rsidP="008A4F3A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41241">
        <w:rPr>
          <w:rFonts w:ascii="Times New Roman" w:hAnsi="Times New Roman" w:cs="Times New Roman"/>
          <w:sz w:val="24"/>
          <w:szCs w:val="24"/>
          <w:lang w:val="sq-AL"/>
        </w:rPr>
        <w:t xml:space="preserve">Në bazë të raportit të akreditimit dhe propozimit  të AKAFPK-së, Ministria e Ekonomisë, Kulturës dhe Inovacionit mori vendimin për </w:t>
      </w:r>
      <w:r w:rsidRPr="00741241">
        <w:rPr>
          <w:rFonts w:ascii="Times New Roman" w:hAnsi="Times New Roman" w:cs="Times New Roman"/>
          <w:b/>
          <w:sz w:val="24"/>
          <w:szCs w:val="24"/>
          <w:lang w:val="sq-AL"/>
        </w:rPr>
        <w:t>akreditimin me kusht</w:t>
      </w:r>
      <w:r w:rsidRPr="00741241">
        <w:rPr>
          <w:rFonts w:ascii="Times New Roman" w:hAnsi="Times New Roman" w:cs="Times New Roman"/>
          <w:sz w:val="24"/>
          <w:szCs w:val="24"/>
          <w:lang w:val="sq-AL"/>
        </w:rPr>
        <w:t xml:space="preserve"> për </w:t>
      </w: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ofruesin publik të AFP-së, </w:t>
      </w:r>
      <w:r w:rsidRPr="00741241">
        <w:rPr>
          <w:rFonts w:ascii="Times New Roman" w:hAnsi="Times New Roman"/>
          <w:sz w:val="24"/>
          <w:szCs w:val="24"/>
          <w:lang w:val="sq-AL"/>
        </w:rPr>
        <w:t xml:space="preserve">Shkollën e Mesme </w:t>
      </w:r>
      <w:r w:rsidR="00496140" w:rsidRPr="00741241">
        <w:rPr>
          <w:rFonts w:ascii="Times New Roman" w:eastAsia="Calibri" w:hAnsi="Times New Roman" w:cs="Times New Roman"/>
          <w:sz w:val="24"/>
          <w:szCs w:val="24"/>
          <w:lang w:val="sq-AL"/>
        </w:rPr>
        <w:t>Profesionale “</w:t>
      </w:r>
      <w:proofErr w:type="spellStart"/>
      <w:r w:rsidR="00496140" w:rsidRPr="00741241">
        <w:rPr>
          <w:rFonts w:ascii="Times New Roman" w:eastAsia="Calibri" w:hAnsi="Times New Roman" w:cs="Times New Roman"/>
          <w:sz w:val="24"/>
          <w:szCs w:val="24"/>
          <w:lang w:val="sq-AL"/>
        </w:rPr>
        <w:t>Charles</w:t>
      </w:r>
      <w:proofErr w:type="spellEnd"/>
      <w:r w:rsidR="00496140" w:rsidRPr="00741241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496140" w:rsidRPr="00741241">
        <w:rPr>
          <w:rFonts w:ascii="Times New Roman" w:eastAsia="Calibri" w:hAnsi="Times New Roman" w:cs="Times New Roman"/>
          <w:sz w:val="24"/>
          <w:szCs w:val="24"/>
          <w:lang w:val="sq-AL"/>
        </w:rPr>
        <w:t>Telford</w:t>
      </w:r>
      <w:proofErr w:type="spellEnd"/>
      <w:r w:rsidR="00496140" w:rsidRPr="00741241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496140" w:rsidRPr="00741241">
        <w:rPr>
          <w:rFonts w:ascii="Times New Roman" w:eastAsia="Calibri" w:hAnsi="Times New Roman" w:cs="Times New Roman"/>
          <w:sz w:val="24"/>
          <w:szCs w:val="24"/>
          <w:lang w:val="sq-AL"/>
        </w:rPr>
        <w:t>Erickson</w:t>
      </w:r>
      <w:proofErr w:type="spellEnd"/>
      <w:r w:rsidR="00496140" w:rsidRPr="00741241">
        <w:rPr>
          <w:rFonts w:ascii="Times New Roman" w:eastAsia="Calibri" w:hAnsi="Times New Roman" w:cs="Times New Roman"/>
          <w:sz w:val="24"/>
          <w:szCs w:val="24"/>
          <w:lang w:val="sq-AL"/>
        </w:rPr>
        <w:t>”, Golem-Kavajë</w:t>
      </w:r>
      <w:r w:rsidRPr="00741241">
        <w:rPr>
          <w:rFonts w:ascii="Times New Roman" w:hAnsi="Times New Roman"/>
          <w:sz w:val="24"/>
          <w:szCs w:val="24"/>
          <w:lang w:val="sq-AL"/>
        </w:rPr>
        <w:t xml:space="preserve">  </w:t>
      </w:r>
      <w:r w:rsidRPr="00741241">
        <w:rPr>
          <w:rFonts w:ascii="Times New Roman" w:hAnsi="Times New Roman" w:cs="Times New Roman"/>
          <w:sz w:val="24"/>
          <w:szCs w:val="24"/>
          <w:lang w:val="sq-AL"/>
        </w:rPr>
        <w:t xml:space="preserve">me Vendim Nr. </w:t>
      </w:r>
      <w:r w:rsidR="00FB1316" w:rsidRPr="00741241">
        <w:rPr>
          <w:rFonts w:ascii="Times New Roman" w:hAnsi="Times New Roman" w:cs="Times New Roman"/>
          <w:sz w:val="24"/>
          <w:szCs w:val="24"/>
          <w:lang w:val="sq-AL"/>
        </w:rPr>
        <w:t>6569</w:t>
      </w:r>
      <w:r w:rsidRPr="00741241">
        <w:rPr>
          <w:rFonts w:ascii="Times New Roman" w:hAnsi="Times New Roman" w:cs="Times New Roman"/>
          <w:sz w:val="24"/>
          <w:szCs w:val="24"/>
          <w:lang w:val="sq-AL"/>
        </w:rPr>
        <w:t xml:space="preserve">, datë 21.5.2024 </w:t>
      </w:r>
      <w:r w:rsidRPr="00741241">
        <w:rPr>
          <w:rFonts w:ascii="Times New Roman" w:eastAsia="Times New Roman" w:hAnsi="Times New Roman"/>
          <w:sz w:val="24"/>
          <w:szCs w:val="24"/>
          <w:lang w:val="sq-AL"/>
        </w:rPr>
        <w:t xml:space="preserve">për kualifikimet profesionale </w:t>
      </w: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për të cilat ka aplikuar. AKAFPK ka lëshuar cer</w:t>
      </w:r>
      <w:r w:rsidR="00C87EC7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tifikatën e akreditimit me kusht</w:t>
      </w:r>
      <w:r w:rsidR="00840B23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, me nr. serie 13</w:t>
      </w: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, dat</w:t>
      </w:r>
      <w:r w:rsidR="0084280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bookmarkStart w:id="1" w:name="_GoBack"/>
      <w:bookmarkEnd w:id="1"/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8F058F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05.06.2024</w:t>
      </w:r>
      <w:r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me afat vlefshmërie deri më </w:t>
      </w:r>
      <w:r w:rsidR="008F058F" w:rsidRPr="00741241">
        <w:rPr>
          <w:rFonts w:ascii="Times New Roman" w:eastAsia="Times New Roman" w:hAnsi="Times New Roman" w:cs="Times New Roman"/>
          <w:sz w:val="24"/>
          <w:szCs w:val="24"/>
          <w:lang w:val="sq-AL"/>
        </w:rPr>
        <w:t>20.11.2024</w:t>
      </w:r>
      <w:r w:rsidR="00842801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B42330" w:rsidRPr="00741241" w:rsidRDefault="00B42330" w:rsidP="008A4F3A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53"/>
          <w:szCs w:val="53"/>
          <w:lang w:val="sq-AL"/>
        </w:rPr>
      </w:pPr>
    </w:p>
    <w:p w:rsidR="004B5275" w:rsidRPr="00741241" w:rsidRDefault="004B5275" w:rsidP="008A4F3A">
      <w:pPr>
        <w:spacing w:line="276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B42330" w:rsidRPr="00741241" w:rsidRDefault="00B42330" w:rsidP="008A4F3A">
      <w:pPr>
        <w:spacing w:line="276" w:lineRule="auto"/>
        <w:rPr>
          <w:rFonts w:ascii="Times New Roman" w:hAnsi="Times New Roman" w:cs="Times New Roman"/>
          <w:sz w:val="24"/>
          <w:szCs w:val="24"/>
          <w:lang w:val="sq-AL"/>
        </w:rPr>
      </w:pPr>
    </w:p>
    <w:sectPr w:rsidR="00B42330" w:rsidRPr="0074124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644" w:rsidRDefault="00C07644">
      <w:pPr>
        <w:spacing w:after="0" w:line="240" w:lineRule="auto"/>
      </w:pPr>
      <w:r>
        <w:separator/>
      </w:r>
    </w:p>
  </w:endnote>
  <w:endnote w:type="continuationSeparator" w:id="0">
    <w:p w:rsidR="00C07644" w:rsidRDefault="00C0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105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6B7D" w:rsidRDefault="00BA58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80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96B7D" w:rsidRPr="00593922" w:rsidRDefault="00BA5873" w:rsidP="00614603">
    <w:pPr>
      <w:pBdr>
        <w:top w:val="single" w:sz="4" w:space="1" w:color="auto"/>
      </w:pBdr>
      <w:spacing w:after="0" w:line="240" w:lineRule="auto"/>
      <w:rPr>
        <w:rFonts w:ascii="Times New Roman" w:eastAsia="Times New Roman" w:hAnsi="Times New Roman" w:cs="Times New Roman"/>
        <w:bCs/>
        <w:sz w:val="18"/>
        <w:szCs w:val="24"/>
      </w:rPr>
    </w:pPr>
    <w:r w:rsidRPr="00593922">
      <w:rPr>
        <w:rFonts w:ascii="Times New Roman" w:eastAsia="Times New Roman" w:hAnsi="Times New Roman" w:cs="Times New Roman"/>
        <w:bCs/>
        <w:sz w:val="18"/>
        <w:szCs w:val="24"/>
      </w:rPr>
      <w:t xml:space="preserve">Rr. Mustafa </w:t>
    </w:r>
    <w:proofErr w:type="spellStart"/>
    <w:r w:rsidRPr="00593922">
      <w:rPr>
        <w:rFonts w:ascii="Times New Roman" w:eastAsia="Times New Roman" w:hAnsi="Times New Roman" w:cs="Times New Roman"/>
        <w:bCs/>
        <w:sz w:val="18"/>
        <w:szCs w:val="24"/>
      </w:rPr>
      <w:t>Lleshi</w:t>
    </w:r>
    <w:proofErr w:type="spellEnd"/>
    <w:r w:rsidRPr="00593922">
      <w:rPr>
        <w:rFonts w:ascii="Times New Roman" w:eastAsia="Times New Roman" w:hAnsi="Times New Roman" w:cs="Times New Roman"/>
        <w:bCs/>
        <w:sz w:val="18"/>
        <w:szCs w:val="24"/>
      </w:rPr>
      <w:t xml:space="preserve">, </w:t>
    </w:r>
    <w:proofErr w:type="spellStart"/>
    <w:r w:rsidRPr="00593922">
      <w:rPr>
        <w:rFonts w:ascii="Times New Roman" w:eastAsia="Times New Roman" w:hAnsi="Times New Roman" w:cs="Times New Roman"/>
        <w:bCs/>
        <w:sz w:val="18"/>
        <w:szCs w:val="24"/>
      </w:rPr>
      <w:t>Godina</w:t>
    </w:r>
    <w:proofErr w:type="spellEnd"/>
    <w:r w:rsidRPr="00593922">
      <w:rPr>
        <w:rFonts w:ascii="Times New Roman" w:eastAsia="Times New Roman" w:hAnsi="Times New Roman" w:cs="Times New Roman"/>
        <w:bCs/>
        <w:sz w:val="18"/>
        <w:szCs w:val="24"/>
      </w:rPr>
      <w:t xml:space="preserve"> e </w:t>
    </w:r>
    <w:proofErr w:type="spellStart"/>
    <w:r w:rsidRPr="00593922">
      <w:rPr>
        <w:rFonts w:ascii="Times New Roman" w:eastAsia="Times New Roman" w:hAnsi="Times New Roman" w:cs="Times New Roman"/>
        <w:bCs/>
        <w:sz w:val="18"/>
        <w:szCs w:val="24"/>
      </w:rPr>
      <w:t>Thesarit</w:t>
    </w:r>
    <w:proofErr w:type="spellEnd"/>
    <w:r w:rsidRPr="00593922">
      <w:rPr>
        <w:rFonts w:ascii="Times New Roman" w:eastAsia="Times New Roman" w:hAnsi="Times New Roman" w:cs="Times New Roman"/>
        <w:bCs/>
        <w:sz w:val="18"/>
        <w:szCs w:val="24"/>
      </w:rPr>
      <w:t xml:space="preserve">, Kati i </w:t>
    </w:r>
    <w:proofErr w:type="spellStart"/>
    <w:r w:rsidRPr="00593922">
      <w:rPr>
        <w:rFonts w:ascii="Times New Roman" w:eastAsia="Times New Roman" w:hAnsi="Times New Roman" w:cs="Times New Roman"/>
        <w:bCs/>
        <w:sz w:val="18"/>
        <w:szCs w:val="24"/>
      </w:rPr>
      <w:t>tretë</w:t>
    </w:r>
    <w:proofErr w:type="spellEnd"/>
    <w:r w:rsidRPr="00593922">
      <w:rPr>
        <w:rFonts w:ascii="Times New Roman" w:eastAsia="Times New Roman" w:hAnsi="Times New Roman" w:cs="Times New Roman"/>
        <w:bCs/>
        <w:sz w:val="18"/>
        <w:szCs w:val="24"/>
      </w:rPr>
      <w:t xml:space="preserve">, </w:t>
    </w:r>
    <w:proofErr w:type="spellStart"/>
    <w:r w:rsidRPr="00593922">
      <w:rPr>
        <w:rFonts w:ascii="Times New Roman" w:eastAsia="Times New Roman" w:hAnsi="Times New Roman" w:cs="Times New Roman"/>
        <w:bCs/>
        <w:sz w:val="18"/>
        <w:szCs w:val="24"/>
      </w:rPr>
      <w:t>Tiranë</w:t>
    </w:r>
    <w:proofErr w:type="spellEnd"/>
    <w:r w:rsidRPr="00593922">
      <w:rPr>
        <w:rFonts w:ascii="Times New Roman" w:eastAsia="Times New Roman" w:hAnsi="Times New Roman" w:cs="Times New Roman"/>
        <w:bCs/>
        <w:sz w:val="18"/>
        <w:szCs w:val="24"/>
      </w:rPr>
      <w:t xml:space="preserve">                                          </w:t>
    </w:r>
    <w:r>
      <w:rPr>
        <w:rFonts w:ascii="Times New Roman" w:eastAsia="Times New Roman" w:hAnsi="Times New Roman" w:cs="Times New Roman"/>
        <w:bCs/>
        <w:sz w:val="18"/>
        <w:szCs w:val="24"/>
      </w:rPr>
      <w:t xml:space="preserve">                            </w:t>
    </w:r>
    <w:r w:rsidRPr="00593922">
      <w:rPr>
        <w:rFonts w:ascii="Times New Roman" w:eastAsia="Times New Roman" w:hAnsi="Times New Roman" w:cs="Times New Roman"/>
        <w:bCs/>
        <w:sz w:val="18"/>
        <w:szCs w:val="24"/>
      </w:rPr>
      <w:t>Web site: www.akafp.gov.al</w:t>
    </w:r>
  </w:p>
  <w:p w:rsidR="00096B7D" w:rsidRPr="00593922" w:rsidRDefault="00BA5873" w:rsidP="00614603">
    <w:pPr>
      <w:tabs>
        <w:tab w:val="center" w:pos="4680"/>
        <w:tab w:val="right" w:pos="9360"/>
      </w:tabs>
      <w:spacing w:after="0" w:line="240" w:lineRule="auto"/>
      <w:ind w:right="39"/>
      <w:rPr>
        <w:rFonts w:ascii="Times New Roman" w:eastAsia="Times New Roman" w:hAnsi="Times New Roman" w:cs="Times New Roman"/>
        <w:bCs/>
        <w:sz w:val="18"/>
        <w:szCs w:val="24"/>
      </w:rPr>
    </w:pPr>
    <w:r w:rsidRPr="00593922">
      <w:rPr>
        <w:rFonts w:ascii="Times New Roman" w:eastAsia="Times New Roman" w:hAnsi="Times New Roman" w:cs="Times New Roman"/>
        <w:bCs/>
        <w:sz w:val="18"/>
        <w:szCs w:val="24"/>
      </w:rPr>
      <w:t>Tel/fax</w:t>
    </w:r>
    <w:proofErr w:type="gramStart"/>
    <w:r w:rsidRPr="00593922">
      <w:rPr>
        <w:rFonts w:ascii="Times New Roman" w:eastAsia="Times New Roman" w:hAnsi="Times New Roman" w:cs="Times New Roman"/>
        <w:bCs/>
        <w:sz w:val="18"/>
        <w:szCs w:val="24"/>
      </w:rPr>
      <w:t>.+</w:t>
    </w:r>
    <w:proofErr w:type="gramEnd"/>
    <w:r w:rsidRPr="00593922">
      <w:rPr>
        <w:rFonts w:ascii="Times New Roman" w:eastAsia="Times New Roman" w:hAnsi="Times New Roman" w:cs="Times New Roman"/>
        <w:bCs/>
        <w:sz w:val="18"/>
        <w:szCs w:val="24"/>
      </w:rPr>
      <w:t xml:space="preserve">355 42237087                                                                                                                              </w:t>
    </w:r>
  </w:p>
  <w:p w:rsidR="00096B7D" w:rsidRDefault="00C076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644" w:rsidRDefault="00C07644">
      <w:pPr>
        <w:spacing w:after="0" w:line="240" w:lineRule="auto"/>
      </w:pPr>
      <w:r>
        <w:separator/>
      </w:r>
    </w:p>
  </w:footnote>
  <w:footnote w:type="continuationSeparator" w:id="0">
    <w:p w:rsidR="00C07644" w:rsidRDefault="00C07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5109"/>
    <w:multiLevelType w:val="hybridMultilevel"/>
    <w:tmpl w:val="DC8A41B8"/>
    <w:lvl w:ilvl="0" w:tplc="95BA81DE">
      <w:start w:val="1"/>
      <w:numFmt w:val="decimal"/>
      <w:lvlText w:val="%1."/>
      <w:lvlJc w:val="left"/>
      <w:pPr>
        <w:ind w:left="309" w:hanging="20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sq-AL" w:eastAsia="en-US" w:bidi="ar-SA"/>
      </w:rPr>
    </w:lvl>
    <w:lvl w:ilvl="1" w:tplc="5BFC57D0">
      <w:numFmt w:val="bullet"/>
      <w:lvlText w:val="•"/>
      <w:lvlJc w:val="left"/>
      <w:pPr>
        <w:ind w:left="1247" w:hanging="202"/>
      </w:pPr>
      <w:rPr>
        <w:rFonts w:hint="default"/>
        <w:lang w:val="sq-AL" w:eastAsia="en-US" w:bidi="ar-SA"/>
      </w:rPr>
    </w:lvl>
    <w:lvl w:ilvl="2" w:tplc="3F0C30F2">
      <w:numFmt w:val="bullet"/>
      <w:lvlText w:val="•"/>
      <w:lvlJc w:val="left"/>
      <w:pPr>
        <w:ind w:left="2194" w:hanging="202"/>
      </w:pPr>
      <w:rPr>
        <w:rFonts w:hint="default"/>
        <w:lang w:val="sq-AL" w:eastAsia="en-US" w:bidi="ar-SA"/>
      </w:rPr>
    </w:lvl>
    <w:lvl w:ilvl="3" w:tplc="1A8AA90C">
      <w:numFmt w:val="bullet"/>
      <w:lvlText w:val="•"/>
      <w:lvlJc w:val="left"/>
      <w:pPr>
        <w:ind w:left="3141" w:hanging="202"/>
      </w:pPr>
      <w:rPr>
        <w:rFonts w:hint="default"/>
        <w:lang w:val="sq-AL" w:eastAsia="en-US" w:bidi="ar-SA"/>
      </w:rPr>
    </w:lvl>
    <w:lvl w:ilvl="4" w:tplc="A8207B7A">
      <w:numFmt w:val="bullet"/>
      <w:lvlText w:val="•"/>
      <w:lvlJc w:val="left"/>
      <w:pPr>
        <w:ind w:left="4088" w:hanging="202"/>
      </w:pPr>
      <w:rPr>
        <w:rFonts w:hint="default"/>
        <w:lang w:val="sq-AL" w:eastAsia="en-US" w:bidi="ar-SA"/>
      </w:rPr>
    </w:lvl>
    <w:lvl w:ilvl="5" w:tplc="796CA9D6">
      <w:numFmt w:val="bullet"/>
      <w:lvlText w:val="•"/>
      <w:lvlJc w:val="left"/>
      <w:pPr>
        <w:ind w:left="5035" w:hanging="202"/>
      </w:pPr>
      <w:rPr>
        <w:rFonts w:hint="default"/>
        <w:lang w:val="sq-AL" w:eastAsia="en-US" w:bidi="ar-SA"/>
      </w:rPr>
    </w:lvl>
    <w:lvl w:ilvl="6" w:tplc="009E0044">
      <w:numFmt w:val="bullet"/>
      <w:lvlText w:val="•"/>
      <w:lvlJc w:val="left"/>
      <w:pPr>
        <w:ind w:left="5982" w:hanging="202"/>
      </w:pPr>
      <w:rPr>
        <w:rFonts w:hint="default"/>
        <w:lang w:val="sq-AL" w:eastAsia="en-US" w:bidi="ar-SA"/>
      </w:rPr>
    </w:lvl>
    <w:lvl w:ilvl="7" w:tplc="9634F66A">
      <w:numFmt w:val="bullet"/>
      <w:lvlText w:val="•"/>
      <w:lvlJc w:val="left"/>
      <w:pPr>
        <w:ind w:left="6929" w:hanging="202"/>
      </w:pPr>
      <w:rPr>
        <w:rFonts w:hint="default"/>
        <w:lang w:val="sq-AL" w:eastAsia="en-US" w:bidi="ar-SA"/>
      </w:rPr>
    </w:lvl>
    <w:lvl w:ilvl="8" w:tplc="F2CC316A">
      <w:numFmt w:val="bullet"/>
      <w:lvlText w:val="•"/>
      <w:lvlJc w:val="left"/>
      <w:pPr>
        <w:ind w:left="7876" w:hanging="202"/>
      </w:pPr>
      <w:rPr>
        <w:rFonts w:hint="default"/>
        <w:lang w:val="sq-AL" w:eastAsia="en-US" w:bidi="ar-SA"/>
      </w:rPr>
    </w:lvl>
  </w:abstractNum>
  <w:abstractNum w:abstractNumId="1">
    <w:nsid w:val="25E9184D"/>
    <w:multiLevelType w:val="hybridMultilevel"/>
    <w:tmpl w:val="277289F6"/>
    <w:lvl w:ilvl="0" w:tplc="EC66BEA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D6442"/>
    <w:multiLevelType w:val="hybridMultilevel"/>
    <w:tmpl w:val="26308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200DA4"/>
    <w:multiLevelType w:val="multilevel"/>
    <w:tmpl w:val="F87C57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164399C"/>
    <w:multiLevelType w:val="hybridMultilevel"/>
    <w:tmpl w:val="4A18043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3504E1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21B0A"/>
    <w:multiLevelType w:val="hybridMultilevel"/>
    <w:tmpl w:val="E4FC231A"/>
    <w:lvl w:ilvl="0" w:tplc="BCE66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FB"/>
    <w:rsid w:val="00001D54"/>
    <w:rsid w:val="000559C0"/>
    <w:rsid w:val="00060167"/>
    <w:rsid w:val="000740E6"/>
    <w:rsid w:val="0007733D"/>
    <w:rsid w:val="00077AC0"/>
    <w:rsid w:val="000928A9"/>
    <w:rsid w:val="00093370"/>
    <w:rsid w:val="000C6B3E"/>
    <w:rsid w:val="000F292C"/>
    <w:rsid w:val="00117C27"/>
    <w:rsid w:val="00122997"/>
    <w:rsid w:val="00143125"/>
    <w:rsid w:val="00161B30"/>
    <w:rsid w:val="00182D59"/>
    <w:rsid w:val="00224FFC"/>
    <w:rsid w:val="00225FE2"/>
    <w:rsid w:val="002501C8"/>
    <w:rsid w:val="002631FB"/>
    <w:rsid w:val="002950E1"/>
    <w:rsid w:val="0029659B"/>
    <w:rsid w:val="002A5E10"/>
    <w:rsid w:val="002A6965"/>
    <w:rsid w:val="002C0D0F"/>
    <w:rsid w:val="002D42DF"/>
    <w:rsid w:val="00352D40"/>
    <w:rsid w:val="003627C8"/>
    <w:rsid w:val="003F28A8"/>
    <w:rsid w:val="00407E67"/>
    <w:rsid w:val="00415988"/>
    <w:rsid w:val="004249E0"/>
    <w:rsid w:val="00425032"/>
    <w:rsid w:val="004572C1"/>
    <w:rsid w:val="00496140"/>
    <w:rsid w:val="004A38C5"/>
    <w:rsid w:val="004B5275"/>
    <w:rsid w:val="004C7AA4"/>
    <w:rsid w:val="004D0BFB"/>
    <w:rsid w:val="00505439"/>
    <w:rsid w:val="00574491"/>
    <w:rsid w:val="005B7929"/>
    <w:rsid w:val="005D3343"/>
    <w:rsid w:val="00604E6C"/>
    <w:rsid w:val="00627A05"/>
    <w:rsid w:val="00637327"/>
    <w:rsid w:val="00692CB5"/>
    <w:rsid w:val="006B674B"/>
    <w:rsid w:val="006C69F8"/>
    <w:rsid w:val="006E42D8"/>
    <w:rsid w:val="006E512F"/>
    <w:rsid w:val="006E6B2E"/>
    <w:rsid w:val="00741241"/>
    <w:rsid w:val="00742530"/>
    <w:rsid w:val="00770C39"/>
    <w:rsid w:val="0078031D"/>
    <w:rsid w:val="007A01BF"/>
    <w:rsid w:val="007D6DFC"/>
    <w:rsid w:val="007F48CB"/>
    <w:rsid w:val="0081761B"/>
    <w:rsid w:val="00840B23"/>
    <w:rsid w:val="00842801"/>
    <w:rsid w:val="008A4F3A"/>
    <w:rsid w:val="008B51BB"/>
    <w:rsid w:val="008D1CC3"/>
    <w:rsid w:val="008F058F"/>
    <w:rsid w:val="009143C7"/>
    <w:rsid w:val="009824C9"/>
    <w:rsid w:val="00982B99"/>
    <w:rsid w:val="009855D2"/>
    <w:rsid w:val="00993064"/>
    <w:rsid w:val="009C052E"/>
    <w:rsid w:val="009C630B"/>
    <w:rsid w:val="009E27A7"/>
    <w:rsid w:val="009E692C"/>
    <w:rsid w:val="00A11E85"/>
    <w:rsid w:val="00A2579E"/>
    <w:rsid w:val="00A35D66"/>
    <w:rsid w:val="00A43FF8"/>
    <w:rsid w:val="00A67716"/>
    <w:rsid w:val="00AA4800"/>
    <w:rsid w:val="00AA48F1"/>
    <w:rsid w:val="00AB713F"/>
    <w:rsid w:val="00B2286E"/>
    <w:rsid w:val="00B42330"/>
    <w:rsid w:val="00B455B7"/>
    <w:rsid w:val="00BA27D7"/>
    <w:rsid w:val="00BA5873"/>
    <w:rsid w:val="00BD5945"/>
    <w:rsid w:val="00C07644"/>
    <w:rsid w:val="00C560A9"/>
    <w:rsid w:val="00C564F2"/>
    <w:rsid w:val="00C571A3"/>
    <w:rsid w:val="00C57A6D"/>
    <w:rsid w:val="00C815A1"/>
    <w:rsid w:val="00C81E81"/>
    <w:rsid w:val="00C824BC"/>
    <w:rsid w:val="00C87EC7"/>
    <w:rsid w:val="00C97F1F"/>
    <w:rsid w:val="00CC7221"/>
    <w:rsid w:val="00CD3DAD"/>
    <w:rsid w:val="00CE790A"/>
    <w:rsid w:val="00D135E5"/>
    <w:rsid w:val="00D60361"/>
    <w:rsid w:val="00D82255"/>
    <w:rsid w:val="00DB0432"/>
    <w:rsid w:val="00E12D95"/>
    <w:rsid w:val="00E21AE2"/>
    <w:rsid w:val="00E531FF"/>
    <w:rsid w:val="00E77170"/>
    <w:rsid w:val="00E85B79"/>
    <w:rsid w:val="00EF1DFC"/>
    <w:rsid w:val="00EF527E"/>
    <w:rsid w:val="00F66455"/>
    <w:rsid w:val="00F97AD7"/>
    <w:rsid w:val="00FB1316"/>
    <w:rsid w:val="00FC6017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7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A5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873"/>
  </w:style>
  <w:style w:type="paragraph" w:styleId="NormalWeb">
    <w:name w:val="Normal (Web)"/>
    <w:basedOn w:val="Normal"/>
    <w:uiPriority w:val="99"/>
    <w:unhideWhenUsed/>
    <w:rsid w:val="00BA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9659B"/>
    <w:pPr>
      <w:spacing w:after="0" w:line="240" w:lineRule="auto"/>
    </w:pPr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B4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7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A5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873"/>
  </w:style>
  <w:style w:type="paragraph" w:styleId="NormalWeb">
    <w:name w:val="Normal (Web)"/>
    <w:basedOn w:val="Normal"/>
    <w:uiPriority w:val="99"/>
    <w:unhideWhenUsed/>
    <w:rsid w:val="00BA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9659B"/>
    <w:pPr>
      <w:spacing w:after="0" w:line="240" w:lineRule="auto"/>
    </w:pPr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B4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3467</TotalTime>
  <Pages>12</Pages>
  <Words>3672</Words>
  <Characters>20932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Semini</dc:creator>
  <cp:keywords/>
  <dc:description/>
  <cp:lastModifiedBy>ekaculi@yahoo.com</cp:lastModifiedBy>
  <cp:revision>102</cp:revision>
  <dcterms:created xsi:type="dcterms:W3CDTF">2023-10-04T08:37:00Z</dcterms:created>
  <dcterms:modified xsi:type="dcterms:W3CDTF">2024-06-05T07:21:00Z</dcterms:modified>
</cp:coreProperties>
</file>