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B7BA" w14:textId="53F46A0A" w:rsidR="007D281E" w:rsidRPr="00BD670A" w:rsidRDefault="00BD670A" w:rsidP="002402C0">
      <w:pPr>
        <w:pStyle w:val="TOC2"/>
        <w:tabs>
          <w:tab w:val="right" w:leader="dot" w:pos="901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670A">
        <w:rPr>
          <w:rFonts w:ascii="Times New Roman" w:hAnsi="Times New Roman"/>
          <w:b/>
          <w:sz w:val="28"/>
          <w:szCs w:val="28"/>
        </w:rPr>
        <w:t xml:space="preserve">KURRIKULA E LËNDËS </w:t>
      </w:r>
    </w:p>
    <w:p w14:paraId="06130758" w14:textId="77777777" w:rsidR="00BD670A" w:rsidRPr="00BD670A" w:rsidRDefault="00BD670A" w:rsidP="00BD670A"/>
    <w:p w14:paraId="7DC1D799" w14:textId="51F86D8E" w:rsidR="002402C0" w:rsidRDefault="00B5141B" w:rsidP="002402C0">
      <w:pPr>
        <w:pStyle w:val="TOC2"/>
        <w:tabs>
          <w:tab w:val="right" w:leader="dot" w:pos="901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670A">
        <w:rPr>
          <w:rFonts w:ascii="Times New Roman" w:hAnsi="Times New Roman"/>
          <w:b/>
          <w:sz w:val="28"/>
          <w:szCs w:val="28"/>
        </w:rPr>
        <w:t>“MJEDISI DHE ZHVILLIMI I QËNDRUESHËM”</w:t>
      </w:r>
    </w:p>
    <w:p w14:paraId="2F2E8578" w14:textId="5D2D9AA6" w:rsidR="00A03C30" w:rsidRPr="00B71E45" w:rsidRDefault="00B71E45" w:rsidP="00B71E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45">
        <w:rPr>
          <w:rFonts w:ascii="Times New Roman" w:hAnsi="Times New Roman"/>
          <w:sz w:val="24"/>
          <w:szCs w:val="24"/>
        </w:rPr>
        <w:t xml:space="preserve">Ky </w:t>
      </w:r>
      <w:r w:rsidRPr="00B71E45">
        <w:rPr>
          <w:rFonts w:ascii="Times New Roman" w:hAnsi="Times New Roman"/>
          <w:sz w:val="24"/>
          <w:szCs w:val="24"/>
        </w:rPr>
        <w:t>program sintetik i lëndës</w:t>
      </w:r>
      <w:r w:rsidRPr="00B71E45">
        <w:rPr>
          <w:rFonts w:ascii="Times New Roman" w:hAnsi="Times New Roman"/>
          <w:sz w:val="24"/>
          <w:szCs w:val="24"/>
        </w:rPr>
        <w:t xml:space="preserve"> është hartuar </w:t>
      </w:r>
      <w:r w:rsidRPr="00B71E45">
        <w:rPr>
          <w:rFonts w:ascii="Times New Roman" w:hAnsi="Times New Roman"/>
          <w:sz w:val="24"/>
          <w:szCs w:val="24"/>
        </w:rPr>
        <w:t xml:space="preserve">të zbatimit të </w:t>
      </w:r>
      <w:r w:rsidRPr="00B71E45">
        <w:rPr>
          <w:rFonts w:ascii="Times New Roman" w:hAnsi="Times New Roman"/>
          <w:sz w:val="24"/>
          <w:szCs w:val="24"/>
        </w:rPr>
        <w:t>projektit “Sustainable</w:t>
      </w:r>
      <w:r w:rsidRPr="00B71E45">
        <w:rPr>
          <w:rFonts w:ascii="Times New Roman" w:hAnsi="Times New Roman"/>
          <w:sz w:val="24"/>
          <w:szCs w:val="24"/>
        </w:rPr>
        <w:t xml:space="preserve"> </w:t>
      </w:r>
      <w:r w:rsidRPr="00B71E45">
        <w:rPr>
          <w:rFonts w:ascii="Times New Roman" w:hAnsi="Times New Roman"/>
          <w:sz w:val="24"/>
          <w:szCs w:val="24"/>
        </w:rPr>
        <w:t>economic and regional development, employment promotion and vocational education and training</w:t>
      </w:r>
      <w:r w:rsidRPr="00B71E45">
        <w:rPr>
          <w:rFonts w:ascii="Times New Roman" w:hAnsi="Times New Roman"/>
          <w:sz w:val="24"/>
          <w:szCs w:val="24"/>
        </w:rPr>
        <w:t xml:space="preserve"> </w:t>
      </w:r>
      <w:r w:rsidRPr="00B71E45">
        <w:rPr>
          <w:rFonts w:ascii="Times New Roman" w:hAnsi="Times New Roman"/>
          <w:sz w:val="24"/>
          <w:szCs w:val="24"/>
        </w:rPr>
        <w:t>(ProSEED 2.0)”</w:t>
      </w:r>
    </w:p>
    <w:p w14:paraId="572D27BF" w14:textId="77777777" w:rsidR="00BD670A" w:rsidRPr="00BD670A" w:rsidRDefault="00BD670A" w:rsidP="00BD670A"/>
    <w:p w14:paraId="10791693" w14:textId="47FCAAEE" w:rsidR="002402C0" w:rsidRDefault="007D281E" w:rsidP="002C264A">
      <w:pPr>
        <w:pStyle w:val="TOC2"/>
        <w:tabs>
          <w:tab w:val="right" w:leader="dot" w:pos="901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670A">
        <w:rPr>
          <w:rFonts w:ascii="Times New Roman" w:hAnsi="Times New Roman"/>
          <w:b/>
          <w:sz w:val="28"/>
          <w:szCs w:val="28"/>
        </w:rPr>
        <w:t xml:space="preserve">Për të gjitha </w:t>
      </w:r>
      <w:r w:rsidR="0034675A">
        <w:rPr>
          <w:rFonts w:ascii="Times New Roman" w:hAnsi="Times New Roman"/>
          <w:b/>
          <w:sz w:val="28"/>
          <w:szCs w:val="28"/>
        </w:rPr>
        <w:t xml:space="preserve">drejtimet mësimore që ofrohen në </w:t>
      </w:r>
      <w:r w:rsidRPr="00BD670A">
        <w:rPr>
          <w:rFonts w:ascii="Times New Roman" w:hAnsi="Times New Roman"/>
          <w:b/>
          <w:sz w:val="28"/>
          <w:szCs w:val="28"/>
        </w:rPr>
        <w:t>shkollat profesionale në Shqipëri</w:t>
      </w:r>
    </w:p>
    <w:p w14:paraId="32C56B81" w14:textId="77777777" w:rsidR="0034675A" w:rsidRPr="0034675A" w:rsidRDefault="0034675A" w:rsidP="00B71E45">
      <w:pPr>
        <w:jc w:val="both"/>
      </w:pPr>
    </w:p>
    <w:p w14:paraId="75D236E5" w14:textId="1FCEB409" w:rsidR="002C264A" w:rsidRPr="00BD670A" w:rsidRDefault="00791B3C" w:rsidP="002C264A">
      <w:pPr>
        <w:rPr>
          <w:rFonts w:ascii="Times New Roman" w:hAnsi="Times New Roman"/>
          <w:b/>
          <w:sz w:val="24"/>
          <w:szCs w:val="24"/>
        </w:rPr>
      </w:pPr>
      <w:r w:rsidRPr="00BD670A">
        <w:rPr>
          <w:rFonts w:ascii="Times New Roman" w:hAnsi="Times New Roman"/>
          <w:b/>
          <w:sz w:val="24"/>
          <w:szCs w:val="24"/>
        </w:rPr>
        <w:t>Synimet e lëndës “Mjedisi dhe zhvillimi i qëndrueshëm”</w:t>
      </w:r>
      <w:r w:rsidR="00974E63" w:rsidRPr="00BD670A">
        <w:rPr>
          <w:rFonts w:ascii="Times New Roman" w:hAnsi="Times New Roman"/>
          <w:b/>
          <w:sz w:val="24"/>
          <w:szCs w:val="24"/>
        </w:rPr>
        <w:t>.</w:t>
      </w:r>
    </w:p>
    <w:p w14:paraId="4148C7C7" w14:textId="40FBFACF" w:rsidR="00974E63" w:rsidRPr="00BD670A" w:rsidRDefault="00974E63" w:rsidP="00974E63">
      <w:pPr>
        <w:rPr>
          <w:rFonts w:ascii="Times New Roman" w:hAnsi="Times New Roman"/>
        </w:rPr>
      </w:pPr>
      <w:r w:rsidRPr="00BD670A">
        <w:rPr>
          <w:rFonts w:ascii="Times New Roman" w:hAnsi="Times New Roman"/>
        </w:rPr>
        <w:t>Në përfundim të trajtimit të lëndës “Mjedisi dhe zhvillimi i qëndrueshëm”, nxënësit duhet:</w:t>
      </w:r>
    </w:p>
    <w:p w14:paraId="014846BB" w14:textId="77777777" w:rsidR="00420DEE" w:rsidRPr="00BD670A" w:rsidRDefault="002402C0" w:rsidP="00B71E45">
      <w:pPr>
        <w:pStyle w:val="TOC2"/>
        <w:numPr>
          <w:ilvl w:val="0"/>
          <w:numId w:val="9"/>
        </w:numPr>
        <w:tabs>
          <w:tab w:val="right" w:leader="dot" w:pos="9016"/>
        </w:tabs>
        <w:spacing w:line="240" w:lineRule="auto"/>
        <w:ind w:left="360"/>
        <w:jc w:val="both"/>
        <w:rPr>
          <w:rStyle w:val="Hyperlink"/>
          <w:rFonts w:ascii="Times New Roman" w:eastAsia="DengXian" w:hAnsi="Times New Roman"/>
          <w:color w:val="auto"/>
          <w:sz w:val="24"/>
          <w:szCs w:val="24"/>
          <w:u w:val="none"/>
          <w:lang w:val="en-US"/>
        </w:rPr>
      </w:pPr>
      <w:r w:rsidRPr="00BD670A">
        <w:rPr>
          <w:rFonts w:ascii="Times New Roman" w:hAnsi="Times New Roman"/>
          <w:sz w:val="24"/>
          <w:szCs w:val="24"/>
        </w:rPr>
        <w:fldChar w:fldCharType="begin"/>
      </w:r>
      <w:r w:rsidRPr="00BD670A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D670A">
        <w:rPr>
          <w:rFonts w:ascii="Times New Roman" w:hAnsi="Times New Roman"/>
          <w:sz w:val="24"/>
          <w:szCs w:val="24"/>
        </w:rPr>
        <w:fldChar w:fldCharType="separate"/>
      </w:r>
      <w:hyperlink w:anchor="_Toc164956834" w:history="1">
        <w:r w:rsidR="00612DC2" w:rsidRPr="00BD670A">
          <w:rPr>
            <w:rFonts w:ascii="Times New Roman" w:hAnsi="Times New Roman"/>
            <w:sz w:val="24"/>
            <w:szCs w:val="24"/>
          </w:rPr>
          <w:t xml:space="preserve"> Të shpjegojnë kuptimin </w:t>
        </w:r>
        <w:r w:rsidR="00FF72E1" w:rsidRPr="00BD670A">
          <w:rPr>
            <w:rFonts w:ascii="Times New Roman" w:hAnsi="Times New Roman"/>
            <w:sz w:val="24"/>
            <w:szCs w:val="24"/>
          </w:rPr>
          <w:t>e</w:t>
        </w:r>
        <w:r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 qëndrueshmërisë dhe zhvillimi</w:t>
        </w:r>
        <w:r w:rsidR="00FF72E1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 të</w:t>
        </w:r>
        <w:r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 qëndrueshëm</w:t>
        </w:r>
      </w:hyperlink>
      <w:r w:rsidR="00420DEE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;</w:t>
      </w:r>
    </w:p>
    <w:p w14:paraId="2E327EBA" w14:textId="31279E43" w:rsidR="002402C0" w:rsidRPr="00BD670A" w:rsidRDefault="00B53A45" w:rsidP="00B71E45">
      <w:pPr>
        <w:pStyle w:val="TOC2"/>
        <w:numPr>
          <w:ilvl w:val="0"/>
          <w:numId w:val="9"/>
        </w:numPr>
        <w:tabs>
          <w:tab w:val="right" w:leader="dot" w:pos="9016"/>
        </w:tabs>
        <w:spacing w:line="240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r w:rsidRPr="00BD670A">
        <w:rPr>
          <w:rFonts w:ascii="Times New Roman" w:hAnsi="Times New Roman"/>
          <w:sz w:val="24"/>
          <w:szCs w:val="24"/>
        </w:rPr>
        <w:t xml:space="preserve">Të shpjegojnë </w:t>
      </w:r>
      <w:hyperlink w:anchor="_Toc164956835" w:history="1">
        <w:r w:rsidR="00420DEE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o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bjektiva</w:t>
        </w:r>
        <w:r w:rsidR="0092426D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t</w:t>
        </w:r>
        <w:r w:rsidR="00420DEE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për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zhvillim të qëndrueshëm</w:t>
        </w:r>
      </w:hyperlink>
      <w:r w:rsidR="009E1E0E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;</w:t>
      </w:r>
    </w:p>
    <w:p w14:paraId="623475E4" w14:textId="6B46A246" w:rsidR="002402C0" w:rsidRPr="00BD670A" w:rsidRDefault="009E1E0E" w:rsidP="00B71E45">
      <w:pPr>
        <w:pStyle w:val="TOC2"/>
        <w:numPr>
          <w:ilvl w:val="0"/>
          <w:numId w:val="9"/>
        </w:numPr>
        <w:tabs>
          <w:tab w:val="left" w:pos="960"/>
          <w:tab w:val="right" w:leader="dot" w:pos="9016"/>
        </w:tabs>
        <w:spacing w:line="240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r w:rsidRPr="00BD670A">
        <w:rPr>
          <w:rFonts w:ascii="Times New Roman" w:hAnsi="Times New Roman"/>
          <w:sz w:val="24"/>
          <w:szCs w:val="24"/>
        </w:rPr>
        <w:t xml:space="preserve">Të shpjegojnë kuptimin për </w:t>
      </w:r>
      <w:hyperlink w:anchor="_Toc164956836" w:history="1">
        <w:r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a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ftësitë e gjelbra</w:t>
        </w:r>
      </w:hyperlink>
      <w:r w:rsidR="002402C0" w:rsidRPr="00BD670A">
        <w:rPr>
          <w:rFonts w:ascii="Times New Roman" w:hAnsi="Times New Roman"/>
          <w:sz w:val="24"/>
          <w:szCs w:val="24"/>
        </w:rPr>
        <w:t xml:space="preserve"> n</w:t>
      </w:r>
      <w:r w:rsidR="00B5141B" w:rsidRPr="00BD670A">
        <w:rPr>
          <w:rFonts w:ascii="Times New Roman" w:hAnsi="Times New Roman"/>
          <w:sz w:val="24"/>
          <w:szCs w:val="24"/>
        </w:rPr>
        <w:t>ë</w:t>
      </w:r>
      <w:r w:rsidR="002402C0" w:rsidRPr="00BD670A">
        <w:rPr>
          <w:rFonts w:ascii="Times New Roman" w:hAnsi="Times New Roman"/>
          <w:sz w:val="24"/>
          <w:szCs w:val="24"/>
        </w:rPr>
        <w:t xml:space="preserve"> nj</w:t>
      </w:r>
      <w:r w:rsidR="00B5141B" w:rsidRPr="00BD670A">
        <w:rPr>
          <w:rFonts w:ascii="Times New Roman" w:hAnsi="Times New Roman"/>
          <w:sz w:val="24"/>
          <w:szCs w:val="24"/>
        </w:rPr>
        <w:t>ë</w:t>
      </w:r>
      <w:r w:rsidR="002402C0" w:rsidRPr="00BD670A">
        <w:rPr>
          <w:rFonts w:ascii="Times New Roman" w:hAnsi="Times New Roman"/>
          <w:sz w:val="24"/>
          <w:szCs w:val="24"/>
        </w:rPr>
        <w:t xml:space="preserve"> ekonomi t</w:t>
      </w:r>
      <w:r w:rsidR="00B5141B" w:rsidRPr="00BD670A">
        <w:rPr>
          <w:rFonts w:ascii="Times New Roman" w:hAnsi="Times New Roman"/>
          <w:sz w:val="24"/>
          <w:szCs w:val="24"/>
        </w:rPr>
        <w:t>ë</w:t>
      </w:r>
      <w:r w:rsidR="002402C0" w:rsidRPr="00BD670A">
        <w:rPr>
          <w:rFonts w:ascii="Times New Roman" w:hAnsi="Times New Roman"/>
          <w:sz w:val="24"/>
          <w:szCs w:val="24"/>
        </w:rPr>
        <w:t xml:space="preserve"> gjelb</w:t>
      </w:r>
      <w:r w:rsidR="00B5141B" w:rsidRPr="00BD670A">
        <w:rPr>
          <w:rFonts w:ascii="Times New Roman" w:hAnsi="Times New Roman"/>
          <w:sz w:val="24"/>
          <w:szCs w:val="24"/>
        </w:rPr>
        <w:t>ë</w:t>
      </w:r>
      <w:r w:rsidR="002402C0" w:rsidRPr="00BD670A">
        <w:rPr>
          <w:rFonts w:ascii="Times New Roman" w:hAnsi="Times New Roman"/>
          <w:sz w:val="24"/>
          <w:szCs w:val="24"/>
        </w:rPr>
        <w:t>r</w:t>
      </w:r>
      <w:r w:rsidRPr="00BD670A">
        <w:rPr>
          <w:rFonts w:ascii="Times New Roman" w:hAnsi="Times New Roman"/>
          <w:sz w:val="24"/>
          <w:szCs w:val="24"/>
        </w:rPr>
        <w:t>;</w:t>
      </w:r>
    </w:p>
    <w:p w14:paraId="1A859334" w14:textId="74D4EFA6" w:rsidR="002402C0" w:rsidRPr="00BD670A" w:rsidRDefault="009E1E0E" w:rsidP="00B71E45">
      <w:pPr>
        <w:pStyle w:val="TOC2"/>
        <w:numPr>
          <w:ilvl w:val="0"/>
          <w:numId w:val="9"/>
        </w:numPr>
        <w:tabs>
          <w:tab w:val="right" w:leader="dot" w:pos="9016"/>
        </w:tabs>
        <w:spacing w:line="240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r w:rsidRPr="00BD670A">
        <w:rPr>
          <w:rFonts w:ascii="Times New Roman" w:hAnsi="Times New Roman"/>
          <w:sz w:val="24"/>
          <w:szCs w:val="24"/>
        </w:rPr>
        <w:t xml:space="preserve">Të shpjegojnë </w:t>
      </w:r>
      <w:hyperlink w:anchor="_Toc164956838" w:history="1">
        <w:r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r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ëndësi</w:t>
        </w:r>
        <w:r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në e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 aftësive digjitale në përballimin e sfidave globale</w:t>
        </w:r>
      </w:hyperlink>
      <w:r w:rsid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;</w:t>
      </w:r>
      <w:hyperlink w:anchor="_Toc164956839" w:history="1"/>
    </w:p>
    <w:p w14:paraId="116CF6E7" w14:textId="472F3711" w:rsidR="002402C0" w:rsidRPr="00BD670A" w:rsidRDefault="00E13B7C" w:rsidP="00B71E45">
      <w:pPr>
        <w:pStyle w:val="TOC2"/>
        <w:numPr>
          <w:ilvl w:val="0"/>
          <w:numId w:val="9"/>
        </w:numPr>
        <w:tabs>
          <w:tab w:val="right" w:leader="dot" w:pos="9016"/>
        </w:tabs>
        <w:spacing w:line="240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40" w:history="1">
        <w:r w:rsidR="00927E1C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Të analizojnë </w:t>
        </w:r>
        <w:r w:rsidR="00871103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m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jedisi</w:t>
        </w:r>
      </w:hyperlink>
      <w:r w:rsidR="00871103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n</w:t>
      </w:r>
      <w:r w:rsidR="002402C0" w:rsidRPr="00BD670A">
        <w:rPr>
          <w:rFonts w:ascii="Times New Roman" w:hAnsi="Times New Roman"/>
          <w:sz w:val="24"/>
          <w:szCs w:val="24"/>
        </w:rPr>
        <w:t xml:space="preserve"> dhe komponent</w:t>
      </w:r>
      <w:r w:rsidR="00B5141B" w:rsidRPr="00BD670A">
        <w:rPr>
          <w:rFonts w:ascii="Times New Roman" w:hAnsi="Times New Roman"/>
          <w:sz w:val="24"/>
          <w:szCs w:val="24"/>
        </w:rPr>
        <w:t>ë</w:t>
      </w:r>
      <w:r w:rsidR="002402C0" w:rsidRPr="00BD670A">
        <w:rPr>
          <w:rFonts w:ascii="Times New Roman" w:hAnsi="Times New Roman"/>
          <w:sz w:val="24"/>
          <w:szCs w:val="24"/>
        </w:rPr>
        <w:t>t e tij</w:t>
      </w:r>
      <w:r w:rsidR="008E2ADB">
        <w:rPr>
          <w:rFonts w:ascii="Times New Roman" w:hAnsi="Times New Roman"/>
          <w:sz w:val="24"/>
          <w:szCs w:val="24"/>
        </w:rPr>
        <w:t>;</w:t>
      </w:r>
    </w:p>
    <w:p w14:paraId="1C48BA8F" w14:textId="79606150" w:rsidR="002402C0" w:rsidRPr="00BD670A" w:rsidRDefault="008F03FC" w:rsidP="00B71E45">
      <w:pPr>
        <w:pStyle w:val="TOC2"/>
        <w:numPr>
          <w:ilvl w:val="0"/>
          <w:numId w:val="9"/>
        </w:numPr>
        <w:tabs>
          <w:tab w:val="right" w:leader="dot" w:pos="9016"/>
        </w:tabs>
        <w:spacing w:after="0" w:line="240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r w:rsidRPr="00BD670A">
        <w:rPr>
          <w:rFonts w:ascii="Times New Roman" w:hAnsi="Times New Roman"/>
          <w:sz w:val="24"/>
          <w:szCs w:val="24"/>
        </w:rPr>
        <w:t>Të shpjegojnë</w:t>
      </w:r>
      <w:r w:rsidR="0092426D" w:rsidRPr="00BD670A">
        <w:rPr>
          <w:rFonts w:ascii="Times New Roman" w:hAnsi="Times New Roman"/>
          <w:sz w:val="24"/>
          <w:szCs w:val="24"/>
        </w:rPr>
        <w:t xml:space="preserve"> e</w:t>
      </w:r>
      <w:hyperlink w:anchor="_Toc164956841" w:history="1"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kosistemet dhe biodiversiteti</w:t>
        </w:r>
        <w:r w:rsidR="0092426D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n</w:t>
        </w:r>
        <w:r w:rsidR="008E2AD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;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  </w:t>
        </w:r>
      </w:hyperlink>
      <w:r w:rsidR="002402C0" w:rsidRPr="00BD670A">
        <w:rPr>
          <w:rFonts w:ascii="Times New Roman" w:eastAsia="DengXian" w:hAnsi="Times New Roman"/>
          <w:sz w:val="24"/>
          <w:szCs w:val="24"/>
          <w:lang w:val="en-US"/>
        </w:rPr>
        <w:t xml:space="preserve"> </w:t>
      </w:r>
    </w:p>
    <w:p w14:paraId="2D29D418" w14:textId="0182279D" w:rsidR="002402C0" w:rsidRPr="00BD670A" w:rsidRDefault="004045FA" w:rsidP="003E3043">
      <w:pPr>
        <w:pStyle w:val="TOC2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r w:rsidRPr="00BD670A">
        <w:rPr>
          <w:rFonts w:ascii="Times New Roman" w:hAnsi="Times New Roman"/>
          <w:sz w:val="24"/>
          <w:szCs w:val="24"/>
        </w:rPr>
        <w:t xml:space="preserve">Të </w:t>
      </w:r>
      <w:r w:rsidR="005346B8" w:rsidRPr="00BD670A">
        <w:rPr>
          <w:rFonts w:ascii="Times New Roman" w:hAnsi="Times New Roman"/>
          <w:sz w:val="24"/>
          <w:szCs w:val="24"/>
        </w:rPr>
        <w:t xml:space="preserve">analizojnë </w:t>
      </w:r>
      <w:hyperlink w:anchor="_Toc164956842" w:history="1">
        <w:r w:rsidR="005346B8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n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dryshimet klimatike dhe ndikimet e tyre</w:t>
        </w:r>
      </w:hyperlink>
      <w:r w:rsidR="008E2ADB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;</w:t>
      </w:r>
    </w:p>
    <w:p w14:paraId="38BA75E2" w14:textId="793654B9" w:rsidR="002402C0" w:rsidRPr="00BD670A" w:rsidRDefault="00E13B7C" w:rsidP="003E3043">
      <w:pPr>
        <w:pStyle w:val="TOC2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43" w:history="1">
        <w:r w:rsidR="00E21822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Të shpjegojë </w:t>
        </w:r>
        <w:r w:rsidR="0003523C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b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urimet natyrore të ripërtëritshme dhe jo të ripërtëritshme</w:t>
        </w:r>
      </w:hyperlink>
      <w:r w:rsidR="008E2ADB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;</w:t>
      </w:r>
    </w:p>
    <w:p w14:paraId="64493EC8" w14:textId="345D413C" w:rsidR="002402C0" w:rsidRPr="00BD670A" w:rsidRDefault="00E13B7C" w:rsidP="003E3043">
      <w:pPr>
        <w:pStyle w:val="TOC2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44" w:history="1">
        <w:r w:rsidR="0003523C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Të përshkruajë </w:t>
        </w:r>
        <w:r w:rsidR="003451A9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mënyrën e shpjegimit të 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dhënave mjedisore</w:t>
        </w:r>
      </w:hyperlink>
      <w:r w:rsidR="008E2ADB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;</w:t>
      </w:r>
    </w:p>
    <w:p w14:paraId="68FA7D22" w14:textId="789C5BC2" w:rsidR="002402C0" w:rsidRPr="00BD670A" w:rsidRDefault="002402C0" w:rsidP="003E3043">
      <w:pPr>
        <w:pStyle w:val="TOC1"/>
        <w:numPr>
          <w:ilvl w:val="0"/>
          <w:numId w:val="9"/>
        </w:numPr>
        <w:tabs>
          <w:tab w:val="left" w:pos="480"/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r w:rsidRPr="00BD670A">
        <w:rPr>
          <w:rFonts w:ascii="Times New Roman" w:hAnsi="Times New Roman"/>
          <w:sz w:val="24"/>
          <w:szCs w:val="24"/>
        </w:rPr>
        <w:t xml:space="preserve"> </w:t>
      </w:r>
      <w:r w:rsidR="0084370A" w:rsidRPr="00BD670A">
        <w:rPr>
          <w:rFonts w:ascii="Times New Roman" w:hAnsi="Times New Roman"/>
          <w:sz w:val="24"/>
          <w:szCs w:val="24"/>
        </w:rPr>
        <w:t>Të shpjegojë rëndësinë e</w:t>
      </w:r>
      <w:r w:rsidRPr="00BD670A">
        <w:rPr>
          <w:rFonts w:ascii="Times New Roman" w:hAnsi="Times New Roman"/>
          <w:sz w:val="24"/>
          <w:szCs w:val="24"/>
        </w:rPr>
        <w:t xml:space="preserve"> </w:t>
      </w:r>
      <w:hyperlink w:anchor="_Toc164956847" w:history="1">
        <w:r w:rsidR="00666AD9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menaxhimit të mbetjeve, riciklimi dhe zgjidhjet digjitale</w:t>
        </w:r>
      </w:hyperlink>
      <w:r w:rsidR="008E2ADB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;</w:t>
      </w:r>
    </w:p>
    <w:p w14:paraId="6C9F7291" w14:textId="21790DD3" w:rsidR="002402C0" w:rsidRPr="00BD670A" w:rsidRDefault="00E13B7C" w:rsidP="003E3043">
      <w:pPr>
        <w:pStyle w:val="TOC2"/>
        <w:numPr>
          <w:ilvl w:val="0"/>
          <w:numId w:val="9"/>
        </w:numPr>
        <w:tabs>
          <w:tab w:val="left" w:pos="960"/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48" w:history="1">
        <w:r w:rsidR="00666AD9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shpjegojnë k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uptimi i cikleve të jetës së produktit dhe krijimi i mbetjeve</w:t>
        </w:r>
      </w:hyperlink>
      <w:r w:rsidR="008E2ADB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;</w:t>
      </w:r>
    </w:p>
    <w:p w14:paraId="3BFB1020" w14:textId="3C14244E" w:rsidR="002402C0" w:rsidRPr="00BD670A" w:rsidRDefault="00E13B7C" w:rsidP="003E3043">
      <w:pPr>
        <w:pStyle w:val="TOC2"/>
        <w:numPr>
          <w:ilvl w:val="0"/>
          <w:numId w:val="9"/>
        </w:numPr>
        <w:tabs>
          <w:tab w:val="left" w:pos="960"/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49" w:history="1">
        <w:r w:rsidR="00666AD9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përshkruajnë p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arimet bazë të ekonomisë qarkulluese</w:t>
        </w:r>
      </w:hyperlink>
      <w:r w:rsidR="008E2ADB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;</w:t>
      </w:r>
    </w:p>
    <w:p w14:paraId="29A66163" w14:textId="69C330FB" w:rsidR="002402C0" w:rsidRPr="00BD670A" w:rsidRDefault="00B10769" w:rsidP="003E3043">
      <w:pPr>
        <w:pStyle w:val="TOC2"/>
        <w:numPr>
          <w:ilvl w:val="0"/>
          <w:numId w:val="9"/>
        </w:numPr>
        <w:tabs>
          <w:tab w:val="left" w:pos="960"/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r w:rsidRPr="00BD670A">
        <w:rPr>
          <w:rFonts w:ascii="Times New Roman" w:hAnsi="Times New Roman"/>
          <w:sz w:val="24"/>
          <w:szCs w:val="24"/>
        </w:rPr>
        <w:t>Të shpjegojnë p</w:t>
      </w:r>
      <w:hyperlink w:anchor="_Toc164956850" w:history="1"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roceset dhe teknologjitë e riciklimit</w:t>
        </w:r>
      </w:hyperlink>
      <w:r w:rsidR="000E3330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;</w:t>
      </w:r>
    </w:p>
    <w:p w14:paraId="6EF2CA8F" w14:textId="4D205A33" w:rsidR="002402C0" w:rsidRPr="00BD670A" w:rsidRDefault="00E13B7C" w:rsidP="003E3043">
      <w:pPr>
        <w:pStyle w:val="TOC2"/>
        <w:numPr>
          <w:ilvl w:val="0"/>
          <w:numId w:val="9"/>
        </w:numPr>
        <w:tabs>
          <w:tab w:val="left" w:pos="960"/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51" w:history="1">
        <w:r w:rsidR="00B10769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shpjegojnë dhe japin shembuj nga drejtimet profesionale mbi r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eduktimi, ripërdorimi dhe riciklimi</w:t>
        </w:r>
      </w:hyperlink>
      <w:r w:rsidR="00B10769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n.</w:t>
      </w:r>
    </w:p>
    <w:p w14:paraId="7351C79B" w14:textId="22E03C4B" w:rsidR="002402C0" w:rsidRPr="00BD670A" w:rsidRDefault="00E13B7C" w:rsidP="003E3043">
      <w:pPr>
        <w:pStyle w:val="TOC2"/>
        <w:numPr>
          <w:ilvl w:val="0"/>
          <w:numId w:val="9"/>
        </w:numPr>
        <w:tabs>
          <w:tab w:val="left" w:pos="960"/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52" w:history="1">
        <w:r w:rsidR="00B10769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Të </w:t>
        </w:r>
        <w:r w:rsidR="00C64826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hulumtojnë mbi p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latforma</w:t>
        </w:r>
        <w:r w:rsidR="00C64826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 digjitale për programet e menaxhimit të mbetjeve</w:t>
        </w:r>
      </w:hyperlink>
    </w:p>
    <w:p w14:paraId="236388A9" w14:textId="57EB726D" w:rsidR="002402C0" w:rsidRPr="00BD670A" w:rsidRDefault="00E13B7C" w:rsidP="003E3043">
      <w:pPr>
        <w:pStyle w:val="TOC2"/>
        <w:numPr>
          <w:ilvl w:val="0"/>
          <w:numId w:val="9"/>
        </w:numPr>
        <w:tabs>
          <w:tab w:val="left" w:pos="960"/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53" w:history="1">
        <w:r w:rsidR="00C64826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Të shpjegojnë </w:t>
        </w:r>
        <w:r w:rsidR="006D50E3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o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ptimizimi</w:t>
        </w:r>
        <w:r w:rsidR="006D50E3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n e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 proceseve të riciklimit duke përdorur teknologjinë</w:t>
        </w:r>
      </w:hyperlink>
    </w:p>
    <w:p w14:paraId="3C7E7EE8" w14:textId="6AC80E8F" w:rsidR="002402C0" w:rsidRPr="00BD670A" w:rsidRDefault="00E13B7C" w:rsidP="003E3043">
      <w:pPr>
        <w:pStyle w:val="TOC2"/>
        <w:numPr>
          <w:ilvl w:val="0"/>
          <w:numId w:val="9"/>
        </w:numPr>
        <w:tabs>
          <w:tab w:val="left" w:pos="960"/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54" w:history="1">
        <w:r w:rsidR="006D50E3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shpjegojnë avantazhet e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 zgjidhjeve digjitale për mirëmenaxhimin e mbetjeve</w:t>
        </w:r>
      </w:hyperlink>
    </w:p>
    <w:p w14:paraId="5BD75702" w14:textId="63C4986F" w:rsidR="002402C0" w:rsidRPr="00BD670A" w:rsidRDefault="00E13B7C" w:rsidP="003E3043">
      <w:pPr>
        <w:pStyle w:val="TOC1"/>
        <w:numPr>
          <w:ilvl w:val="0"/>
          <w:numId w:val="9"/>
        </w:numPr>
        <w:tabs>
          <w:tab w:val="left" w:pos="480"/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55" w:history="1">
        <w:r w:rsidR="008E2ADB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te shpjegojë rëndësinë e ruajtja, menaxhimi dhe monitorimi digjital të burimeve ujore</w:t>
        </w:r>
      </w:hyperlink>
      <w:r w:rsidR="008E2ADB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 xml:space="preserve"> në drejt</w:t>
      </w:r>
      <w:r w:rsidR="00DF498C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imet profesionale përkatëse</w:t>
      </w:r>
    </w:p>
    <w:p w14:paraId="62DBA959" w14:textId="5ADFEBF2" w:rsidR="002402C0" w:rsidRPr="00BD670A" w:rsidRDefault="00E13B7C" w:rsidP="003E3043">
      <w:pPr>
        <w:pStyle w:val="TOC2"/>
        <w:numPr>
          <w:ilvl w:val="0"/>
          <w:numId w:val="9"/>
        </w:numPr>
        <w:tabs>
          <w:tab w:val="left" w:pos="960"/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57" w:history="1">
        <w:r w:rsidR="00DF498C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përshkruajë p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raktikat e qëndrueshme të menaxhimit të ujit</w:t>
        </w:r>
      </w:hyperlink>
      <w:r w:rsidR="00DF498C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 xml:space="preserve"> në fushën profesionale përkatëse.</w:t>
      </w:r>
    </w:p>
    <w:p w14:paraId="37E80B2D" w14:textId="7675EA6F" w:rsidR="002402C0" w:rsidRPr="00BD670A" w:rsidRDefault="00E13B7C" w:rsidP="003E3043">
      <w:pPr>
        <w:pStyle w:val="TOC2"/>
        <w:numPr>
          <w:ilvl w:val="0"/>
          <w:numId w:val="9"/>
        </w:numPr>
        <w:tabs>
          <w:tab w:val="left" w:pos="960"/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59" w:history="1">
        <w:r w:rsidR="00C664B5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dallojë dhe përdorë s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istemet digjitale të monitorimit të përdorimit dhe cilësisë së ujit</w:t>
        </w:r>
      </w:hyperlink>
    </w:p>
    <w:p w14:paraId="5C0180DB" w14:textId="1F659234" w:rsidR="002402C0" w:rsidRPr="00BD670A" w:rsidRDefault="00E13B7C" w:rsidP="003E3043">
      <w:pPr>
        <w:pStyle w:val="TOC2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hyperlink w:anchor="_Toc164956860" w:history="1">
        <w:r w:rsidR="00436EC7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shpjegojë t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eknologjitë inteligjente për menaxhimin e qëndrueshëm të ujit</w:t>
        </w:r>
      </w:hyperlink>
    </w:p>
    <w:p w14:paraId="40B944A6" w14:textId="720B64C0" w:rsidR="002402C0" w:rsidRPr="00BD670A" w:rsidRDefault="00E13B7C" w:rsidP="003E3043">
      <w:pPr>
        <w:pStyle w:val="TOC1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61" w:history="1">
        <w:r w:rsidR="008E2ADB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përshkruajë transporti i qëndrueshëm, lëvizshmëria e zgjuar dhe zgjidhjet digjitale</w:t>
        </w:r>
      </w:hyperlink>
      <w:r w:rsidR="008E2ADB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 xml:space="preserve"> në drejtimet profesionale përkatëse</w:t>
      </w:r>
    </w:p>
    <w:p w14:paraId="660D531C" w14:textId="5CEF775E" w:rsidR="002402C0" w:rsidRPr="00BD670A" w:rsidRDefault="00E13B7C" w:rsidP="003E3043">
      <w:pPr>
        <w:pStyle w:val="TOC2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62" w:history="1">
        <w:r w:rsidR="008E2ADB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dallojë opsionet alternative të transportit (p.sh., transporti publik, biçikleta, ecje)</w:t>
        </w:r>
      </w:hyperlink>
      <w:r w:rsidR="00CA44C4" w:rsidRPr="00BD670A">
        <w:rPr>
          <w:rFonts w:ascii="Times New Roman" w:eastAsia="DengXian" w:hAnsi="Times New Roman"/>
          <w:sz w:val="24"/>
          <w:szCs w:val="24"/>
          <w:lang w:val="en-US"/>
        </w:rPr>
        <w:t xml:space="preserve"> </w:t>
      </w:r>
      <w:r w:rsidR="00DD7D76" w:rsidRPr="00BD670A">
        <w:rPr>
          <w:rFonts w:ascii="Times New Roman" w:eastAsia="DengXian" w:hAnsi="Times New Roman"/>
          <w:sz w:val="24"/>
          <w:szCs w:val="24"/>
          <w:lang w:val="en-US"/>
        </w:rPr>
        <w:t xml:space="preserve">si dhe </w:t>
      </w:r>
      <w:r w:rsidR="00B25764" w:rsidRPr="00BD670A">
        <w:rPr>
          <w:rFonts w:ascii="Times New Roman" w:eastAsia="DengXian" w:hAnsi="Times New Roman"/>
          <w:sz w:val="24"/>
          <w:szCs w:val="24"/>
          <w:lang w:val="en-US"/>
        </w:rPr>
        <w:t xml:space="preserve">përdorimin e </w:t>
      </w:r>
      <w:hyperlink w:anchor="_Toc164956863" w:history="1"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mjete</w:t>
        </w:r>
        <w:r w:rsidR="00B25764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 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elektrike </w:t>
        </w:r>
        <w:r w:rsidR="00B25764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në</w:t>
        </w:r>
      </w:hyperlink>
      <w:r w:rsidR="00B25764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 xml:space="preserve"> </w:t>
      </w:r>
      <w:r w:rsidR="000E3330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veprimtari të ndryshme profesionale;</w:t>
      </w:r>
      <w:r w:rsidR="00B25764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>.</w:t>
      </w:r>
    </w:p>
    <w:p w14:paraId="789A1DE7" w14:textId="3B97BAF8" w:rsidR="002402C0" w:rsidRPr="00BD670A" w:rsidRDefault="00E13B7C" w:rsidP="003E3043">
      <w:pPr>
        <w:pStyle w:val="TOC2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65" w:history="1">
        <w:r w:rsidR="00B25764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dallojë p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latformat digjitale për transport të qëndrueshëm</w:t>
        </w:r>
      </w:hyperlink>
      <w:r w:rsidR="00B25764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 xml:space="preserve"> si dhe </w:t>
      </w:r>
      <w:hyperlink w:anchor="_Toc164956866" w:history="1"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Integrimi</w:t>
        </w:r>
        <w:r w:rsidR="00ED0A4C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n e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 teknologjive inovative në sistemet e transportit publik</w:t>
        </w:r>
      </w:hyperlink>
    </w:p>
    <w:p w14:paraId="2627DA03" w14:textId="778462C8" w:rsidR="002402C0" w:rsidRPr="00BD670A" w:rsidRDefault="0006539B" w:rsidP="003E3043">
      <w:pPr>
        <w:pStyle w:val="TOC1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r w:rsidRPr="00BD670A">
        <w:rPr>
          <w:rFonts w:ascii="Times New Roman" w:hAnsi="Times New Roman"/>
          <w:sz w:val="24"/>
          <w:szCs w:val="24"/>
        </w:rPr>
        <w:t xml:space="preserve">të shpjegojë kuptimin dhe rëndësinë mbi </w:t>
      </w:r>
      <w:hyperlink w:anchor="_Toc164956868" w:history="1">
        <w:r w:rsidR="000E333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konsumin e qëndrueshëm, tregun digjital dhe marketingun digjital</w:t>
        </w:r>
      </w:hyperlink>
    </w:p>
    <w:p w14:paraId="6B141579" w14:textId="414F54BD" w:rsidR="002402C0" w:rsidRPr="00BD670A" w:rsidRDefault="00E13B7C" w:rsidP="003E3043">
      <w:pPr>
        <w:pStyle w:val="TOC2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69" w:history="1">
        <w:r w:rsidR="000E333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dallojë praktikat etike të konsumit</w:t>
        </w:r>
      </w:hyperlink>
      <w:r w:rsidR="000E3330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 xml:space="preserve">, </w:t>
      </w:r>
      <w:hyperlink w:anchor="_Toc164956870" w:history="1">
        <w:r w:rsidR="000E333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zgjedhjet e konsumatorëve dhe ndikimet e tyre mjedisore</w:t>
        </w:r>
      </w:hyperlink>
    </w:p>
    <w:p w14:paraId="7072B395" w14:textId="1112370E" w:rsidR="002402C0" w:rsidRPr="00BD670A" w:rsidRDefault="00E13B7C" w:rsidP="003E3043">
      <w:pPr>
        <w:pStyle w:val="TOC2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hyperlink w:anchor="_Toc164956872" w:history="1">
        <w:r w:rsidR="000E333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shpjegojë praktika dhe platforma të qëndrueshme të tregtisë elektronike</w:t>
        </w:r>
      </w:hyperlink>
      <w:r w:rsidR="000E3330"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 xml:space="preserve"> si dhe </w:t>
      </w:r>
      <w:hyperlink w:anchor="_Toc164956873" w:history="1">
        <w:r w:rsidR="000E333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kuptimin për marketingun digjital për promovimin e produkteve eko-miqësore</w:t>
        </w:r>
      </w:hyperlink>
    </w:p>
    <w:p w14:paraId="46C7EE7A" w14:textId="42E86775" w:rsidR="002402C0" w:rsidRPr="00BD670A" w:rsidRDefault="000E3330" w:rsidP="003E3043">
      <w:pPr>
        <w:pStyle w:val="TOC1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r w:rsidRPr="00BD670A">
        <w:rPr>
          <w:rFonts w:ascii="Times New Roman" w:hAnsi="Times New Roman"/>
          <w:sz w:val="24"/>
          <w:szCs w:val="24"/>
        </w:rPr>
        <w:t xml:space="preserve"> të përshkruajnë </w:t>
      </w:r>
      <w:hyperlink w:anchor="_Toc164956876" w:history="1">
        <w:r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modele të qëndrueshme biznesi</w:t>
        </w:r>
      </w:hyperlink>
      <w:hyperlink w:anchor="_Toc164956875" w:history="1">
        <w:r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 bazuar në praktika të ekonomisë së gjelbër</w:t>
        </w:r>
      </w:hyperlink>
      <w:r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 xml:space="preserve"> dhe digjitale</w:t>
      </w:r>
    </w:p>
    <w:p w14:paraId="14045069" w14:textId="666FC30A" w:rsidR="002402C0" w:rsidRPr="00BD670A" w:rsidRDefault="000E3330" w:rsidP="003E3043">
      <w:pPr>
        <w:pStyle w:val="TOC1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eastAsia="DengXian" w:hAnsi="Times New Roman"/>
          <w:sz w:val="24"/>
          <w:szCs w:val="24"/>
          <w:lang w:val="en-US"/>
        </w:rPr>
      </w:pPr>
      <w:r w:rsidRPr="00BD670A">
        <w:rPr>
          <w:rFonts w:ascii="Times New Roman" w:hAnsi="Times New Roman"/>
          <w:sz w:val="24"/>
          <w:szCs w:val="24"/>
        </w:rPr>
        <w:t xml:space="preserve">të shpjegojë </w:t>
      </w:r>
      <w:hyperlink w:anchor="_Toc164956881" w:history="1">
        <w:r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politikat për zhvillim të qëndrueshëm</w:t>
        </w:r>
      </w:hyperlink>
      <w:r w:rsidRPr="00BD670A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  <w:t xml:space="preserve"> në fusha të ndryshme profesionale </w:t>
      </w:r>
    </w:p>
    <w:p w14:paraId="75951803" w14:textId="2EFEF885" w:rsidR="002402C0" w:rsidRPr="00BD670A" w:rsidRDefault="00E13B7C" w:rsidP="003E3043">
      <w:pPr>
        <w:pStyle w:val="TOC2"/>
        <w:numPr>
          <w:ilvl w:val="0"/>
          <w:numId w:val="9"/>
        </w:numPr>
        <w:tabs>
          <w:tab w:val="right" w:leader="dot" w:pos="9016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hyperlink w:anchor="_Toc164956887" w:history="1">
        <w:r w:rsidR="009905FF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të shpjegojnë k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onsiderata</w:t>
        </w:r>
        <w:r w:rsidR="009905FF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>t</w:t>
        </w:r>
        <w:r w:rsidR="002402C0" w:rsidRPr="00BD670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q-AL"/>
          </w:rPr>
          <w:t xml:space="preserve"> etike në qeverisjen digjitale për qëndrueshmëri</w:t>
        </w:r>
      </w:hyperlink>
      <w:r w:rsidR="002402C0" w:rsidRPr="00BD670A">
        <w:rPr>
          <w:rFonts w:ascii="Times New Roman" w:hAnsi="Times New Roman"/>
          <w:sz w:val="24"/>
          <w:szCs w:val="24"/>
        </w:rPr>
        <w:fldChar w:fldCharType="end"/>
      </w:r>
    </w:p>
    <w:p w14:paraId="76E0C772" w14:textId="77777777" w:rsidR="009905FF" w:rsidRPr="00BD670A" w:rsidRDefault="009905FF" w:rsidP="009905FF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4B5C3F" w14:textId="7BE88029" w:rsidR="009905FF" w:rsidRPr="008226BD" w:rsidRDefault="009905FF" w:rsidP="009905FF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226BD">
        <w:rPr>
          <w:rFonts w:ascii="Times New Roman" w:hAnsi="Times New Roman"/>
          <w:b/>
          <w:sz w:val="28"/>
          <w:szCs w:val="28"/>
        </w:rPr>
        <w:t>Përmbajtjet e përgjithshme të lëndës “Mjedisi dhe zhvillimi i qëndrueshëm”</w:t>
      </w:r>
    </w:p>
    <w:tbl>
      <w:tblPr>
        <w:tblW w:w="91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7113"/>
        <w:gridCol w:w="867"/>
      </w:tblGrid>
      <w:tr w:rsidR="00BD670A" w:rsidRPr="008226BD" w14:paraId="3619DBAB" w14:textId="77777777" w:rsidTr="00D946D1">
        <w:trPr>
          <w:trHeight w:val="27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C7E2" w14:textId="77777777" w:rsidR="009905FF" w:rsidRPr="008226BD" w:rsidRDefault="009905FF" w:rsidP="00D946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6BD">
              <w:rPr>
                <w:rFonts w:ascii="Times New Roman" w:hAnsi="Times New Roman"/>
                <w:b/>
                <w:sz w:val="24"/>
                <w:szCs w:val="24"/>
              </w:rPr>
              <w:t>Tema 1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11A1" w14:textId="77777777" w:rsidR="009905FF" w:rsidRPr="008226BD" w:rsidRDefault="009905FF" w:rsidP="00D946D1">
            <w:pPr>
              <w:rPr>
                <w:rFonts w:ascii="Times New Roman" w:hAnsi="Times New Roman"/>
                <w:sz w:val="24"/>
                <w:szCs w:val="24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 xml:space="preserve">Zhvillimi i qëndrueshëm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0FE1" w14:textId="77777777" w:rsidR="009905FF" w:rsidRPr="008226BD" w:rsidRDefault="009905FF" w:rsidP="00D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>3 orë</w:t>
            </w:r>
          </w:p>
        </w:tc>
      </w:tr>
      <w:tr w:rsidR="00BD670A" w:rsidRPr="008226BD" w14:paraId="51626E4E" w14:textId="77777777" w:rsidTr="00D946D1">
        <w:trPr>
          <w:trHeight w:val="27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110E" w14:textId="77777777" w:rsidR="009905FF" w:rsidRPr="008226BD" w:rsidRDefault="009905FF" w:rsidP="00D946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6BD">
              <w:rPr>
                <w:rFonts w:ascii="Times New Roman" w:hAnsi="Times New Roman"/>
                <w:b/>
                <w:sz w:val="24"/>
                <w:szCs w:val="24"/>
              </w:rPr>
              <w:t>Tema 2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0913" w14:textId="77777777" w:rsidR="009905FF" w:rsidRPr="008226BD" w:rsidRDefault="009905FF" w:rsidP="00D946D1">
            <w:pPr>
              <w:rPr>
                <w:rFonts w:ascii="Times New Roman" w:hAnsi="Times New Roman"/>
                <w:sz w:val="24"/>
                <w:szCs w:val="24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>Bazat e shkencës mjedisore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E037" w14:textId="77777777" w:rsidR="009905FF" w:rsidRPr="008226BD" w:rsidRDefault="009905FF" w:rsidP="00D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>3 orë</w:t>
            </w:r>
          </w:p>
        </w:tc>
      </w:tr>
      <w:tr w:rsidR="00BD670A" w:rsidRPr="008226BD" w14:paraId="7962C747" w14:textId="77777777" w:rsidTr="00D946D1">
        <w:trPr>
          <w:trHeight w:val="27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7563" w14:textId="77777777" w:rsidR="009905FF" w:rsidRPr="008226BD" w:rsidRDefault="009905FF" w:rsidP="00D946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6BD">
              <w:rPr>
                <w:rFonts w:ascii="Times New Roman" w:hAnsi="Times New Roman"/>
                <w:b/>
                <w:sz w:val="24"/>
                <w:szCs w:val="24"/>
              </w:rPr>
              <w:t>Tema 3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22A5" w14:textId="77777777" w:rsidR="009905FF" w:rsidRPr="008226BD" w:rsidRDefault="00E13B7C" w:rsidP="00D946D1">
            <w:pPr>
              <w:rPr>
                <w:rFonts w:ascii="Times New Roman" w:hAnsi="Times New Roman"/>
                <w:sz w:val="24"/>
                <w:szCs w:val="24"/>
              </w:rPr>
            </w:pPr>
            <w:hyperlink w:anchor="_Toc164956847" w:history="1">
              <w:r w:rsidR="009905FF" w:rsidRPr="008226BD">
                <w:rPr>
                  <w:rStyle w:val="Hyperlink"/>
                  <w:rFonts w:ascii="Times New Roman" w:eastAsiaTheme="majorEastAsia" w:hAnsi="Times New Roman"/>
                  <w:color w:val="auto"/>
                  <w:sz w:val="24"/>
                  <w:szCs w:val="24"/>
                  <w:u w:val="none"/>
                </w:rPr>
                <w:t>Menaxhimit të mbetjeve, riciklimi dhe zgjidhjet digjitale</w:t>
              </w:r>
            </w:hyperlink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D8F3" w14:textId="77777777" w:rsidR="009905FF" w:rsidRPr="008226BD" w:rsidRDefault="009905FF" w:rsidP="00D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>6 orë</w:t>
            </w:r>
          </w:p>
        </w:tc>
      </w:tr>
      <w:tr w:rsidR="00BD670A" w:rsidRPr="008226BD" w14:paraId="2043B910" w14:textId="77777777" w:rsidTr="00D946D1">
        <w:trPr>
          <w:trHeight w:val="27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E94D" w14:textId="77777777" w:rsidR="009905FF" w:rsidRPr="008226BD" w:rsidRDefault="009905FF" w:rsidP="00D946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6BD">
              <w:rPr>
                <w:rFonts w:ascii="Times New Roman" w:hAnsi="Times New Roman"/>
                <w:b/>
                <w:sz w:val="24"/>
                <w:szCs w:val="24"/>
              </w:rPr>
              <w:t>Tema 4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0837" w14:textId="77777777" w:rsidR="009905FF" w:rsidRPr="008226BD" w:rsidRDefault="00E13B7C" w:rsidP="00D946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w:anchor="_Toc164956855" w:history="1">
              <w:r w:rsidR="009905FF" w:rsidRPr="008226BD">
                <w:rPr>
                  <w:rStyle w:val="Hyperlink"/>
                  <w:rFonts w:ascii="Times New Roman" w:eastAsiaTheme="majorEastAsia" w:hAnsi="Times New Roman"/>
                  <w:color w:val="auto"/>
                  <w:sz w:val="24"/>
                  <w:szCs w:val="24"/>
                  <w:u w:val="none"/>
                </w:rPr>
                <w:t>Ruajtja, menaxhimi dhe monitorimi digjital i burimeve ujore</w:t>
              </w:r>
            </w:hyperlink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E645" w14:textId="77777777" w:rsidR="009905FF" w:rsidRPr="008226BD" w:rsidRDefault="009905FF" w:rsidP="00D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>4 orë</w:t>
            </w:r>
          </w:p>
        </w:tc>
      </w:tr>
      <w:tr w:rsidR="00BD670A" w:rsidRPr="008226BD" w14:paraId="4570E353" w14:textId="77777777" w:rsidTr="00D946D1">
        <w:trPr>
          <w:trHeight w:val="27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660A" w14:textId="77777777" w:rsidR="009905FF" w:rsidRPr="008226BD" w:rsidRDefault="009905FF" w:rsidP="00D946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6BD">
              <w:rPr>
                <w:rFonts w:ascii="Times New Roman" w:hAnsi="Times New Roman"/>
                <w:b/>
                <w:sz w:val="24"/>
                <w:szCs w:val="24"/>
              </w:rPr>
              <w:t>Tema 5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7590" w14:textId="77777777" w:rsidR="009905FF" w:rsidRPr="008226BD" w:rsidRDefault="00E13B7C" w:rsidP="00D946D1">
            <w:pPr>
              <w:rPr>
                <w:rFonts w:ascii="Times New Roman" w:hAnsi="Times New Roman"/>
                <w:sz w:val="24"/>
                <w:szCs w:val="24"/>
              </w:rPr>
            </w:pPr>
            <w:hyperlink w:anchor="_Toc164956861" w:history="1">
              <w:r w:rsidR="009905FF" w:rsidRPr="008226BD">
                <w:rPr>
                  <w:rStyle w:val="Hyperlink"/>
                  <w:rFonts w:ascii="Times New Roman" w:eastAsiaTheme="majorEastAsia" w:hAnsi="Times New Roman"/>
                  <w:color w:val="auto"/>
                  <w:sz w:val="24"/>
                  <w:szCs w:val="24"/>
                  <w:u w:val="none"/>
                </w:rPr>
                <w:t>Transporti i qëndrueshëm, lëvizshmëria e zgjuar dhe zgjidhjet digjitale</w:t>
              </w:r>
            </w:hyperlink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C651" w14:textId="77777777" w:rsidR="009905FF" w:rsidRPr="008226BD" w:rsidRDefault="009905FF" w:rsidP="00D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>4 orë</w:t>
            </w:r>
          </w:p>
        </w:tc>
      </w:tr>
      <w:tr w:rsidR="00BD670A" w:rsidRPr="008226BD" w14:paraId="6C13903F" w14:textId="77777777" w:rsidTr="00D946D1">
        <w:trPr>
          <w:trHeight w:val="39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AF16" w14:textId="77777777" w:rsidR="009905FF" w:rsidRPr="008226BD" w:rsidRDefault="009905FF" w:rsidP="00D946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6BD">
              <w:rPr>
                <w:rFonts w:ascii="Times New Roman" w:hAnsi="Times New Roman"/>
                <w:b/>
                <w:sz w:val="24"/>
                <w:szCs w:val="24"/>
              </w:rPr>
              <w:t>Tema 6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A0DA" w14:textId="77777777" w:rsidR="009905FF" w:rsidRPr="008226BD" w:rsidRDefault="00E13B7C" w:rsidP="00D946D1">
            <w:pPr>
              <w:pStyle w:val="TOC1"/>
              <w:tabs>
                <w:tab w:val="right" w:leader="dot" w:pos="9016"/>
              </w:tabs>
              <w:spacing w:line="276" w:lineRule="auto"/>
              <w:jc w:val="both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  <w:hyperlink w:anchor="_Toc164956868" w:history="1">
              <w:r w:rsidR="009905FF" w:rsidRPr="008226B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sq-AL"/>
                </w:rPr>
                <w:t>Konsumi i qëndrueshëm, tregu digjital dhe marketingu digjital</w:t>
              </w:r>
            </w:hyperlink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BE70" w14:textId="77777777" w:rsidR="009905FF" w:rsidRPr="008226BD" w:rsidRDefault="009905FF" w:rsidP="00D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>4 orë</w:t>
            </w:r>
          </w:p>
        </w:tc>
      </w:tr>
      <w:tr w:rsidR="00BD670A" w:rsidRPr="008226BD" w14:paraId="3A8B7624" w14:textId="77777777" w:rsidTr="00D946D1">
        <w:trPr>
          <w:trHeight w:val="27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BE9E" w14:textId="77777777" w:rsidR="009905FF" w:rsidRPr="008226BD" w:rsidRDefault="009905FF" w:rsidP="00D946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6BD">
              <w:rPr>
                <w:rFonts w:ascii="Times New Roman" w:hAnsi="Times New Roman"/>
                <w:b/>
                <w:sz w:val="24"/>
                <w:szCs w:val="24"/>
              </w:rPr>
              <w:t>Tema 7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8573" w14:textId="77777777" w:rsidR="009905FF" w:rsidRPr="008226BD" w:rsidRDefault="009905FF" w:rsidP="00D946D1">
            <w:pPr>
              <w:pStyle w:val="TOC1"/>
              <w:tabs>
                <w:tab w:val="right" w:leader="dot" w:pos="9016"/>
              </w:tabs>
              <w:spacing w:line="276" w:lineRule="auto"/>
              <w:jc w:val="both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>S</w:t>
            </w:r>
            <w:hyperlink w:anchor="_Toc164956874" w:history="1">
              <w:r w:rsidRPr="008226B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sq-AL"/>
                </w:rPr>
                <w:t>ipërmarrja e gjelbër, inovacioni dhe modelet digjitale të biznesit</w:t>
              </w:r>
            </w:hyperlink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3C48" w14:textId="77777777" w:rsidR="009905FF" w:rsidRPr="008226BD" w:rsidRDefault="009905FF" w:rsidP="00D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>4 orë</w:t>
            </w:r>
          </w:p>
        </w:tc>
      </w:tr>
      <w:tr w:rsidR="00BD670A" w:rsidRPr="008226BD" w14:paraId="01A38164" w14:textId="77777777" w:rsidTr="00D946D1">
        <w:trPr>
          <w:trHeight w:val="27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27B6" w14:textId="77777777" w:rsidR="009905FF" w:rsidRPr="008226BD" w:rsidRDefault="009905FF" w:rsidP="00D946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6BD">
              <w:rPr>
                <w:rFonts w:ascii="Times New Roman" w:hAnsi="Times New Roman"/>
                <w:b/>
                <w:sz w:val="24"/>
                <w:szCs w:val="24"/>
              </w:rPr>
              <w:t>Tema 8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226C" w14:textId="77777777" w:rsidR="009905FF" w:rsidRPr="008226BD" w:rsidRDefault="009905FF" w:rsidP="00D946D1">
            <w:pPr>
              <w:rPr>
                <w:rFonts w:ascii="Times New Roman" w:hAnsi="Times New Roman"/>
                <w:sz w:val="24"/>
                <w:szCs w:val="24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>Politika dhe qeverisja për zhvillim të qëndrueshëm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50A3" w14:textId="77777777" w:rsidR="009905FF" w:rsidRPr="008226BD" w:rsidRDefault="009905FF" w:rsidP="00D9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BD">
              <w:rPr>
                <w:rFonts w:ascii="Times New Roman" w:hAnsi="Times New Roman"/>
                <w:sz w:val="24"/>
                <w:szCs w:val="24"/>
              </w:rPr>
              <w:t>4 orë</w:t>
            </w:r>
          </w:p>
        </w:tc>
      </w:tr>
    </w:tbl>
    <w:p w14:paraId="78A79CAF" w14:textId="77777777" w:rsidR="009905FF" w:rsidRPr="00BD670A" w:rsidRDefault="009905FF" w:rsidP="009905FF">
      <w:pPr>
        <w:tabs>
          <w:tab w:val="left" w:pos="360"/>
        </w:tabs>
        <w:rPr>
          <w:rFonts w:ascii="Arial" w:eastAsia="Arial" w:hAnsi="Arial" w:cs="Arial"/>
          <w:b/>
        </w:rPr>
      </w:pPr>
    </w:p>
    <w:sectPr w:rsidR="009905FF" w:rsidRPr="00BD670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0350" w14:textId="77777777" w:rsidR="00E13B7C" w:rsidRDefault="00E13B7C" w:rsidP="000E3330">
      <w:pPr>
        <w:spacing w:after="0" w:line="240" w:lineRule="auto"/>
      </w:pPr>
      <w:r>
        <w:separator/>
      </w:r>
    </w:p>
  </w:endnote>
  <w:endnote w:type="continuationSeparator" w:id="0">
    <w:p w14:paraId="10FCF356" w14:textId="77777777" w:rsidR="00E13B7C" w:rsidRDefault="00E13B7C" w:rsidP="000E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518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5BA1B" w14:textId="3F8FD782" w:rsidR="000E3330" w:rsidRDefault="000E3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D5723" w14:textId="77777777" w:rsidR="000E3330" w:rsidRDefault="000E3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46D8" w14:textId="77777777" w:rsidR="00E13B7C" w:rsidRDefault="00E13B7C" w:rsidP="000E3330">
      <w:pPr>
        <w:spacing w:after="0" w:line="240" w:lineRule="auto"/>
      </w:pPr>
      <w:r>
        <w:separator/>
      </w:r>
    </w:p>
  </w:footnote>
  <w:footnote w:type="continuationSeparator" w:id="0">
    <w:p w14:paraId="0EFFAAAE" w14:textId="77777777" w:rsidR="00E13B7C" w:rsidRDefault="00E13B7C" w:rsidP="000E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01A"/>
    <w:multiLevelType w:val="multilevel"/>
    <w:tmpl w:val="75BC51CE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0" w:hanging="420"/>
      </w:pPr>
      <w:rPr>
        <w:rFonts w:eastAsia="MS Mincho" w:hint="default"/>
        <w:color w:val="467886"/>
        <w:u w:val="single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eastAsia="MS Mincho" w:hint="default"/>
        <w:color w:val="467886"/>
        <w:u w:val="single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eastAsia="MS Mincho" w:hint="default"/>
        <w:color w:val="467886"/>
        <w:u w:val="single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eastAsia="MS Mincho" w:hint="default"/>
        <w:color w:val="467886"/>
        <w:u w:val="single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eastAsia="MS Mincho" w:hint="default"/>
        <w:color w:val="467886"/>
        <w:u w:val="single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eastAsia="MS Mincho" w:hint="default"/>
        <w:color w:val="467886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eastAsia="MS Mincho" w:hint="default"/>
        <w:color w:val="467886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  <w:rPr>
        <w:rFonts w:eastAsia="MS Mincho" w:hint="default"/>
        <w:color w:val="467886"/>
        <w:u w:val="single"/>
      </w:rPr>
    </w:lvl>
  </w:abstractNum>
  <w:abstractNum w:abstractNumId="1" w15:restartNumberingAfterBreak="0">
    <w:nsid w:val="22E15800"/>
    <w:multiLevelType w:val="hybridMultilevel"/>
    <w:tmpl w:val="5F4C77EC"/>
    <w:lvl w:ilvl="0" w:tplc="263AF304">
      <w:start w:val="1"/>
      <w:numFmt w:val="bullet"/>
      <w:lvlText w:val="-"/>
      <w:lvlJc w:val="left"/>
      <w:pPr>
        <w:ind w:left="58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A250453"/>
    <w:multiLevelType w:val="hybridMultilevel"/>
    <w:tmpl w:val="5E5C7FB8"/>
    <w:lvl w:ilvl="0" w:tplc="FFFFFFFF">
      <w:start w:val="1"/>
      <w:numFmt w:val="bullet"/>
      <w:lvlText w:val="-"/>
      <w:lvlJc w:val="left"/>
      <w:pPr>
        <w:ind w:left="580" w:hanging="360"/>
      </w:pPr>
      <w:rPr>
        <w:rFonts w:ascii="Verdana" w:eastAsia="MS Mincho" w:hAnsi="Verdana" w:cs="Times New Roman" w:hint="default"/>
      </w:rPr>
    </w:lvl>
    <w:lvl w:ilvl="1" w:tplc="263AF304">
      <w:start w:val="1"/>
      <w:numFmt w:val="bullet"/>
      <w:lvlText w:val="-"/>
      <w:lvlJc w:val="left"/>
      <w:pPr>
        <w:ind w:left="1300" w:hanging="360"/>
      </w:pPr>
      <w:rPr>
        <w:rFonts w:ascii="Verdana" w:eastAsia="MS Mincho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3A2B3D8D"/>
    <w:multiLevelType w:val="hybridMultilevel"/>
    <w:tmpl w:val="2ABA677E"/>
    <w:lvl w:ilvl="0" w:tplc="263AF304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7774B"/>
    <w:multiLevelType w:val="hybridMultilevel"/>
    <w:tmpl w:val="F8E06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03AD9"/>
    <w:multiLevelType w:val="hybridMultilevel"/>
    <w:tmpl w:val="913424D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57E94872"/>
    <w:multiLevelType w:val="hybridMultilevel"/>
    <w:tmpl w:val="619295B4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616534C4"/>
    <w:multiLevelType w:val="hybridMultilevel"/>
    <w:tmpl w:val="63CC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94F65"/>
    <w:multiLevelType w:val="hybridMultilevel"/>
    <w:tmpl w:val="52C821D0"/>
    <w:lvl w:ilvl="0" w:tplc="263AF304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B0ADB"/>
    <w:multiLevelType w:val="hybridMultilevel"/>
    <w:tmpl w:val="3F00397E"/>
    <w:lvl w:ilvl="0" w:tplc="263AF304">
      <w:start w:val="1"/>
      <w:numFmt w:val="bullet"/>
      <w:lvlText w:val="-"/>
      <w:lvlJc w:val="left"/>
      <w:pPr>
        <w:ind w:left="58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B7"/>
    <w:rsid w:val="00015C62"/>
    <w:rsid w:val="0003523C"/>
    <w:rsid w:val="00064E3F"/>
    <w:rsid w:val="0006539B"/>
    <w:rsid w:val="000B3E7C"/>
    <w:rsid w:val="000E3330"/>
    <w:rsid w:val="001B53D4"/>
    <w:rsid w:val="001D0731"/>
    <w:rsid w:val="001F4C31"/>
    <w:rsid w:val="002402C0"/>
    <w:rsid w:val="002C264A"/>
    <w:rsid w:val="003451A9"/>
    <w:rsid w:val="0034675A"/>
    <w:rsid w:val="003E3043"/>
    <w:rsid w:val="00403FA4"/>
    <w:rsid w:val="004045FA"/>
    <w:rsid w:val="00417E2E"/>
    <w:rsid w:val="00420DEE"/>
    <w:rsid w:val="004241AF"/>
    <w:rsid w:val="00436EC7"/>
    <w:rsid w:val="00443988"/>
    <w:rsid w:val="005346B8"/>
    <w:rsid w:val="005D59C1"/>
    <w:rsid w:val="00612DC2"/>
    <w:rsid w:val="0062779E"/>
    <w:rsid w:val="006364BF"/>
    <w:rsid w:val="00666AD9"/>
    <w:rsid w:val="006D50E3"/>
    <w:rsid w:val="00767A08"/>
    <w:rsid w:val="00791B3C"/>
    <w:rsid w:val="007D281E"/>
    <w:rsid w:val="008226BD"/>
    <w:rsid w:val="0084370A"/>
    <w:rsid w:val="00871103"/>
    <w:rsid w:val="0088176E"/>
    <w:rsid w:val="008B04BC"/>
    <w:rsid w:val="008E2ADB"/>
    <w:rsid w:val="008F03FC"/>
    <w:rsid w:val="00903BB4"/>
    <w:rsid w:val="0092426D"/>
    <w:rsid w:val="00927E1C"/>
    <w:rsid w:val="00974E63"/>
    <w:rsid w:val="009905FF"/>
    <w:rsid w:val="009E1E0E"/>
    <w:rsid w:val="00A03C30"/>
    <w:rsid w:val="00AE54EF"/>
    <w:rsid w:val="00B10769"/>
    <w:rsid w:val="00B25764"/>
    <w:rsid w:val="00B40FDC"/>
    <w:rsid w:val="00B5141B"/>
    <w:rsid w:val="00B53A45"/>
    <w:rsid w:val="00B572F0"/>
    <w:rsid w:val="00B71E45"/>
    <w:rsid w:val="00BD670A"/>
    <w:rsid w:val="00C4448B"/>
    <w:rsid w:val="00C64826"/>
    <w:rsid w:val="00C664B5"/>
    <w:rsid w:val="00C71BE4"/>
    <w:rsid w:val="00CA44C4"/>
    <w:rsid w:val="00DD7D76"/>
    <w:rsid w:val="00DF498C"/>
    <w:rsid w:val="00E0320B"/>
    <w:rsid w:val="00E13B7C"/>
    <w:rsid w:val="00E21822"/>
    <w:rsid w:val="00E459B6"/>
    <w:rsid w:val="00E668CA"/>
    <w:rsid w:val="00E876B7"/>
    <w:rsid w:val="00ED0A4C"/>
    <w:rsid w:val="00F841AB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B05AF"/>
  <w15:chartTrackingRefBased/>
  <w15:docId w15:val="{979CB7AB-3290-4A05-B390-FFF313BD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C0"/>
    <w:rPr>
      <w:rFonts w:ascii="Aptos" w:eastAsia="MS Mincho" w:hAnsi="Aptos" w:cs="Times New Roman"/>
      <w:kern w:val="2"/>
      <w:lang w:val="s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402C0"/>
    <w:rPr>
      <w:color w:val="467886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2402C0"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rsid w:val="002402C0"/>
    <w:pPr>
      <w:spacing w:after="100"/>
      <w:ind w:left="220"/>
    </w:pPr>
  </w:style>
  <w:style w:type="paragraph" w:styleId="ListParagraph">
    <w:name w:val="List Paragraph"/>
    <w:basedOn w:val="Normal"/>
    <w:link w:val="ListParagraphChar"/>
    <w:qFormat/>
    <w:rsid w:val="002402C0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9905FF"/>
    <w:rPr>
      <w:rFonts w:ascii="Aptos" w:eastAsia="MS Mincho" w:hAnsi="Aptos" w:cs="Times New Roman"/>
      <w:kern w:val="2"/>
      <w:lang w:val="sq"/>
    </w:rPr>
  </w:style>
  <w:style w:type="paragraph" w:styleId="Header">
    <w:name w:val="header"/>
    <w:basedOn w:val="Normal"/>
    <w:link w:val="HeaderChar"/>
    <w:uiPriority w:val="99"/>
    <w:unhideWhenUsed/>
    <w:rsid w:val="000E3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330"/>
    <w:rPr>
      <w:rFonts w:ascii="Aptos" w:eastAsia="MS Mincho" w:hAnsi="Aptos" w:cs="Times New Roman"/>
      <w:kern w:val="2"/>
      <w:lang w:val="sq"/>
    </w:rPr>
  </w:style>
  <w:style w:type="paragraph" w:styleId="Footer">
    <w:name w:val="footer"/>
    <w:basedOn w:val="Normal"/>
    <w:link w:val="FooterChar"/>
    <w:uiPriority w:val="99"/>
    <w:unhideWhenUsed/>
    <w:rsid w:val="000E3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330"/>
    <w:rPr>
      <w:rFonts w:ascii="Aptos" w:eastAsia="MS Mincho" w:hAnsi="Aptos" w:cs="Times New Roman"/>
      <w:kern w:val="2"/>
      <w:lang w:val="s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743</Words>
  <Characters>4338</Characters>
  <Application>Microsoft Office Word</Application>
  <DocSecurity>0</DocSecurity>
  <Lines>105</Lines>
  <Paragraphs>95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Evisi</dc:creator>
  <cp:keywords/>
  <dc:description/>
  <cp:lastModifiedBy>albinabuci@gmail.com</cp:lastModifiedBy>
  <cp:revision>11</cp:revision>
  <dcterms:created xsi:type="dcterms:W3CDTF">2024-09-14T14:56:00Z</dcterms:created>
  <dcterms:modified xsi:type="dcterms:W3CDTF">2025-05-28T09:45:00Z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ffa213af-2d87-4fa3-95ba-5dac56a5961d</vt:lpwstr>
  </property>
</Properties>
</file>