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2959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DF87A" wp14:editId="28321C31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6154C" w14:textId="77777777" w:rsidR="000D244C" w:rsidRPr="00A01CF9" w:rsidRDefault="000D244C" w:rsidP="000D244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7D0BC592" w14:textId="77777777" w:rsidR="00D25E19" w:rsidRPr="00A01CF9" w:rsidRDefault="00D25E19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47A75E63" w14:textId="77777777" w:rsidR="00820A5D" w:rsidRPr="00A01CF9" w:rsidRDefault="001658DB" w:rsidP="006114E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TEKNOLOGJI KIMIKE</w:t>
                            </w:r>
                            <w:r w:rsidR="000D244C" w:rsidRPr="00A01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25E19" w:rsidRPr="00A01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14:paraId="7ADCC89D" w14:textId="77777777" w:rsidR="00DF068B" w:rsidRPr="009276D4" w:rsidRDefault="00DF068B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03092846" w14:textId="77777777" w:rsidR="00A252C3" w:rsidRPr="009276D4" w:rsidRDefault="006114E9" w:rsidP="00820A5D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9276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106E9EAC" w14:textId="6F929758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before="2"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organizojë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vendin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punës;</w:t>
                            </w:r>
                          </w:p>
                          <w:p w14:paraId="7EC9E0DB" w14:textId="2C104099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përdorë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mirëmbajë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mjetet dhe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materialet 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punës;</w:t>
                            </w:r>
                          </w:p>
                          <w:p w14:paraId="21C4307D" w14:textId="19E8A29D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respektojë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standardet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e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profesionit;</w:t>
                            </w:r>
                          </w:p>
                          <w:p w14:paraId="7E84F9DB" w14:textId="4F9C3AF0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interpretojë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dokumentacionin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teknik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profesionit;</w:t>
                            </w:r>
                          </w:p>
                          <w:p w14:paraId="4E724D94" w14:textId="51A60CC1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marrë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përgatisë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mostrat për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analizë;</w:t>
                            </w:r>
                          </w:p>
                          <w:p w14:paraId="12170CE5" w14:textId="553BA3C4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përgatitje të thjeshta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lëndëve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para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ndihmëse;</w:t>
                            </w:r>
                          </w:p>
                          <w:p w14:paraId="195676C6" w14:textId="4EA3408E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before="1"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përdorë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pajisje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thjeshta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matëse per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matje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 parametrave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58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teknike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teknologjisë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kimke;</w:t>
                            </w:r>
                          </w:p>
                          <w:p w14:paraId="25174BA5" w14:textId="0C4F1ED7" w:rsidR="00F846E9" w:rsidRPr="009276D4" w:rsidRDefault="00F846E9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përgatitore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 ambalazhimin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produkteve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59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ambalazhime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të 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thjeshta;</w:t>
                            </w:r>
                          </w:p>
                          <w:p w14:paraId="09BDB7E3" w14:textId="1BDEB5D5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dallojë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largojë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mbetjet teknologjike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industrinë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kimike;</w:t>
                            </w:r>
                          </w:p>
                          <w:p w14:paraId="4E4422C1" w14:textId="7595C0B9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plehrave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kimike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produkteve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kimke;</w:t>
                            </w:r>
                          </w:p>
                          <w:p w14:paraId="26F63529" w14:textId="1568DCD7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qelqit;</w:t>
                            </w:r>
                          </w:p>
                          <w:p w14:paraId="4E6220B6" w14:textId="02AA05B8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4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 materialeve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bazë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celuloze;</w:t>
                            </w:r>
                          </w:p>
                          <w:p w14:paraId="258DD683" w14:textId="4BB4F1CF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before="1"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gomës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plastikës;</w:t>
                            </w:r>
                          </w:p>
                          <w:p w14:paraId="4D6B24C0" w14:textId="517B7FCC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lëndëve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lidhëse;</w:t>
                            </w:r>
                          </w:p>
                          <w:p w14:paraId="226DA654" w14:textId="55983AAB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 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metaleve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ngjyra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zeza;</w:t>
                            </w:r>
                          </w:p>
                          <w:p w14:paraId="6392B06B" w14:textId="0F3942D9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 e materialeve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qeramike;</w:t>
                            </w:r>
                          </w:p>
                          <w:p w14:paraId="0D86D2CA" w14:textId="2925CB21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gëlqeres;</w:t>
                            </w:r>
                          </w:p>
                          <w:p w14:paraId="085141AA" w14:textId="3F287A80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before="1"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 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 e materialeve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zjarrduruese;</w:t>
                            </w:r>
                          </w:p>
                          <w:p w14:paraId="3050C5AA" w14:textId="32DB2EE7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 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materialeve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inerte;</w:t>
                            </w:r>
                          </w:p>
                          <w:p w14:paraId="25BBD95C" w14:textId="17A68295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e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bojrave;</w:t>
                            </w:r>
                          </w:p>
                          <w:p w14:paraId="328E66A7" w14:textId="45DF6D8D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3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kryejë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ndihmëse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prodhimin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përpunimin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 lëndëve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djegshme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fosile;</w:t>
                            </w:r>
                          </w:p>
                          <w:p w14:paraId="1C04F268" w14:textId="1223DF11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before="2"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dallojë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informojë për difekte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thjeshta 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linjat 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teknologjisë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kimike;</w:t>
                            </w:r>
                          </w:p>
                          <w:p w14:paraId="04D43C2D" w14:textId="50BC70F9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3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4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dallojë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etapat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procesit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teknologjik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teknologjinë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kimike;</w:t>
                            </w:r>
                          </w:p>
                          <w:p w14:paraId="5D154D42" w14:textId="02C3D52E" w:rsidR="00F846E9" w:rsidRPr="009276D4" w:rsidRDefault="009276D4" w:rsidP="00F846E9">
                            <w:pPr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20"/>
                              </w:tabs>
                              <w:autoSpaceDE w:val="0"/>
                              <w:autoSpaceDN w:val="0"/>
                              <w:spacing w:after="0" w:line="292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5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zbatojë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rregullat 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sigurimit teknik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dhe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58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mbrojtjes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së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1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F846E9" w:rsidRPr="009276D4">
                              <w:rPr>
                                <w:rFonts w:ascii="Times New Roman" w:hAnsi="Times New Roman" w:cs="Times New Roman"/>
                                <w:spacing w:val="-2"/>
                                <w:sz w:val="22"/>
                                <w:szCs w:val="22"/>
                                <w:lang w:val="sq-AL"/>
                              </w:rPr>
                              <w:t>mjedisit.</w:t>
                            </w:r>
                          </w:p>
                          <w:p w14:paraId="22B172DE" w14:textId="77777777" w:rsidR="001658DB" w:rsidRPr="009276D4" w:rsidRDefault="001658DB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0C9081AC" w14:textId="77777777" w:rsidR="000D244C" w:rsidRPr="00A01CF9" w:rsidRDefault="000D244C" w:rsidP="000D244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2BD86DD8" w14:textId="77777777" w:rsidR="009276D4" w:rsidRPr="00A01CF9" w:rsidRDefault="00F846E9" w:rsidP="001658DB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Përfundimi me sukses i kualifikimit profesional “Teknologji kimike”, niveli II-të në KSHK, referuar niveli II të KEK, e pajis individin me certifikatën e punonjësit gjysmë të kualifikuar (ndihmës) në këtë drejtim, me të drejtë për vazhdimin e arsimimit në një nga kualifikimet e nivelit IIItë të KSHK-së, referuar niveli III të KEK, të këtij drejtimi.</w:t>
                            </w:r>
                          </w:p>
                          <w:p w14:paraId="2D65CAB9" w14:textId="77777777" w:rsidR="009276D4" w:rsidRPr="00A01CF9" w:rsidRDefault="00F846E9" w:rsidP="001658DB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Me arsimim të mëtejshëm individi fiton të drejtën e Diplomës së “Maturës Shtetërore Profesionale” me mundësi për vazhdimin e studimeve pas të mesme dhe universitare. </w:t>
                            </w:r>
                          </w:p>
                          <w:p w14:paraId="73622BCC" w14:textId="37680A74" w:rsidR="009276D4" w:rsidRPr="00A01CF9" w:rsidRDefault="00F846E9" w:rsidP="001658DB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Ky kualifikim i jep individit mundësi t'i drejtohet tregut të punës si ndihmës në ndërmarrje tё ndryshme të teknologjisë kimike për prodhimin e: </w:t>
                            </w:r>
                          </w:p>
                          <w:p w14:paraId="172C8A18" w14:textId="330B5442" w:rsidR="009276D4" w:rsidRPr="009276D4" w:rsidRDefault="00F846E9" w:rsidP="00A01CF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produkteve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kimike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acide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baza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kripëra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plehra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kimikë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), </w:t>
                            </w:r>
                          </w:p>
                          <w:p w14:paraId="64A0EBA7" w14:textId="75F04908" w:rsidR="009276D4" w:rsidRPr="009276D4" w:rsidRDefault="00F846E9" w:rsidP="00A01CF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materialeve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ndërtimit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qeramikës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ndërtimit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qeramikës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hollë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materialeve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zjarrduruese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qelqit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gëlqeres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gipsit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çimentos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Portland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dhe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llojeve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tjera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tё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çimentos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kollës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finos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stukos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tullave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silikate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të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lehtësuara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betoneve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asfalto-betoneve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bojërave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ujore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dhe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vajore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), </w:t>
                            </w:r>
                          </w:p>
                          <w:p w14:paraId="4AE2EE81" w14:textId="6C0E90C5" w:rsidR="009276D4" w:rsidRPr="009276D4" w:rsidRDefault="00F846E9" w:rsidP="00A01CF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përpunimin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e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naftës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gazit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natyror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dhe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qymyreve</w:t>
                            </w:r>
                            <w:proofErr w:type="spellEnd"/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</w:p>
                          <w:p w14:paraId="247B3FF8" w14:textId="05D4D386" w:rsidR="009276D4" w:rsidRPr="00A01CF9" w:rsidRDefault="00F846E9" w:rsidP="00A01CF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 xml:space="preserve">polimerëve (gomë, plastikë etj.), </w:t>
                            </w:r>
                          </w:p>
                          <w:p w14:paraId="0A99C192" w14:textId="50C37C31" w:rsidR="009276D4" w:rsidRPr="00A01CF9" w:rsidRDefault="00F846E9" w:rsidP="00A01CF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 xml:space="preserve">metaleve dhe aliazheve, </w:t>
                            </w:r>
                          </w:p>
                          <w:p w14:paraId="7507640C" w14:textId="76804CB3" w:rsidR="00F846E9" w:rsidRPr="00A01CF9" w:rsidRDefault="00F846E9" w:rsidP="00A01CF9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A01CF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</w:rPr>
                              <w:t>materialeve me bazë celuloze (letër, karton etj.), si dhe tregtimin e tyre etj.).</w:t>
                            </w:r>
                          </w:p>
                          <w:p w14:paraId="3431793F" w14:textId="7E0C0A54" w:rsidR="004D7C4A" w:rsidRPr="009276D4" w:rsidRDefault="004D7C4A" w:rsidP="001658DB">
                            <w:pPr>
                              <w:spacing w:before="240"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9276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9276D4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DF8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1126154C" w14:textId="77777777" w:rsidR="000D244C" w:rsidRPr="00A01CF9" w:rsidRDefault="000D244C" w:rsidP="000D244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 </w:t>
                      </w:r>
                    </w:p>
                    <w:p w14:paraId="7D0BC592" w14:textId="77777777" w:rsidR="00D25E19" w:rsidRPr="00A01CF9" w:rsidRDefault="00D25E19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47A75E63" w14:textId="77777777" w:rsidR="00820A5D" w:rsidRPr="00A01CF9" w:rsidRDefault="001658DB" w:rsidP="006114E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TEKNOLOGJI KIMIKE</w:t>
                      </w:r>
                      <w:r w:rsidR="000D244C" w:rsidRPr="00A01C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25E19" w:rsidRPr="00A01CF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14:paraId="7ADCC89D" w14:textId="77777777" w:rsidR="00DF068B" w:rsidRPr="009276D4" w:rsidRDefault="00DF068B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03092846" w14:textId="77777777" w:rsidR="00A252C3" w:rsidRPr="009276D4" w:rsidRDefault="006114E9" w:rsidP="00820A5D">
                      <w:pPr>
                        <w:spacing w:line="276" w:lineRule="auto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0D244C" w:rsidRPr="009276D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106E9EAC" w14:textId="6F929758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before="2"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organizojë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vendin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punës;</w:t>
                      </w:r>
                    </w:p>
                    <w:p w14:paraId="7EC9E0DB" w14:textId="2C104099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përdorë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mirëmbajë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mjetet dhe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materialet e</w:t>
                      </w:r>
                      <w:r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punës;</w:t>
                      </w:r>
                    </w:p>
                    <w:p w14:paraId="21C4307D" w14:textId="19E8A29D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respektojë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standardet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e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profesionit;</w:t>
                      </w:r>
                    </w:p>
                    <w:p w14:paraId="7E84F9DB" w14:textId="4F9C3AF0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interpretojë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dokumentacionin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teknik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profesionit;</w:t>
                      </w:r>
                    </w:p>
                    <w:p w14:paraId="4E724D94" w14:textId="51A60CC1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marrë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përgatisë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mostrat për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analizë;</w:t>
                      </w:r>
                    </w:p>
                    <w:p w14:paraId="12170CE5" w14:textId="553BA3C4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përgatitje të thjeshta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lëndëve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para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ndihmëse;</w:t>
                      </w:r>
                    </w:p>
                    <w:p w14:paraId="195676C6" w14:textId="4EA3408E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before="1"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përdorë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pajisje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thjeshta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matëse per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matje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 parametrave</w:t>
                      </w:r>
                      <w:r w:rsidRPr="009276D4">
                        <w:rPr>
                          <w:rFonts w:ascii="Times New Roman" w:hAnsi="Times New Roman" w:cs="Times New Roman"/>
                          <w:spacing w:val="58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teknike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teknologjisë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kimke;</w:t>
                      </w:r>
                    </w:p>
                    <w:p w14:paraId="25174BA5" w14:textId="0C4F1ED7" w:rsidR="00F846E9" w:rsidRPr="009276D4" w:rsidRDefault="00F846E9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përgatitore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 ambalazhimin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produkteve</w:t>
                      </w:r>
                      <w:r w:rsidRPr="009276D4">
                        <w:rPr>
                          <w:rFonts w:ascii="Times New Roman" w:hAnsi="Times New Roman" w:cs="Times New Roman"/>
                          <w:spacing w:val="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Pr="009276D4">
                        <w:rPr>
                          <w:rFonts w:ascii="Times New Roman" w:hAnsi="Times New Roman" w:cs="Times New Roman"/>
                          <w:spacing w:val="59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ambalazhime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të </w:t>
                      </w:r>
                      <w:r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thjeshta;</w:t>
                      </w:r>
                    </w:p>
                    <w:p w14:paraId="09BDB7E3" w14:textId="1BDEB5D5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dallojë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largojë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mbetjet teknologjike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industrinë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kimike;</w:t>
                      </w:r>
                    </w:p>
                    <w:p w14:paraId="4E4422C1" w14:textId="7595C0B9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plehrave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kimike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produkteve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kimke;</w:t>
                      </w:r>
                    </w:p>
                    <w:p w14:paraId="26F63529" w14:textId="1568DCD7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qelqit;</w:t>
                      </w:r>
                    </w:p>
                    <w:p w14:paraId="4E6220B6" w14:textId="02AA05B8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4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 materialeve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bazë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celuloze;</w:t>
                      </w:r>
                    </w:p>
                    <w:p w14:paraId="258DD683" w14:textId="4BB4F1CF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before="1"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gomës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plastikës;</w:t>
                      </w:r>
                    </w:p>
                    <w:p w14:paraId="4D6B24C0" w14:textId="517B7FCC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lëndëve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lidhëse;</w:t>
                      </w:r>
                    </w:p>
                    <w:p w14:paraId="226DA654" w14:textId="55983AAB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 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metaleve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ngjyra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zeza;</w:t>
                      </w:r>
                    </w:p>
                    <w:p w14:paraId="6392B06B" w14:textId="0F3942D9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 e materialeve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qeramike;</w:t>
                      </w:r>
                    </w:p>
                    <w:p w14:paraId="0D86D2CA" w14:textId="2925CB21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gëlqeres;</w:t>
                      </w:r>
                    </w:p>
                    <w:p w14:paraId="085141AA" w14:textId="3F287A80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before="1"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 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 e materialeve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zjarrduruese;</w:t>
                      </w:r>
                    </w:p>
                    <w:p w14:paraId="3050C5AA" w14:textId="32DB2EE7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 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materialeve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inerte;</w:t>
                      </w:r>
                    </w:p>
                    <w:p w14:paraId="25BBD95C" w14:textId="17A68295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e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bojrave;</w:t>
                      </w:r>
                    </w:p>
                    <w:p w14:paraId="328E66A7" w14:textId="45DF6D8D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3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kryejë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ndihmëse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prodhimin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përpunimin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 lëndëve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djegshme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fosile;</w:t>
                      </w:r>
                    </w:p>
                    <w:p w14:paraId="1C04F268" w14:textId="1223DF11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before="2"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dallojë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informojë për difekte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thjeshta 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linjat 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teknologjisë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kimike;</w:t>
                      </w:r>
                    </w:p>
                    <w:p w14:paraId="04D43C2D" w14:textId="50BC70F9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3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4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dallojë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etapat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procesit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teknologjik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teknologjinë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kimike;</w:t>
                      </w:r>
                    </w:p>
                    <w:p w14:paraId="5D154D42" w14:textId="02C3D52E" w:rsidR="00F846E9" w:rsidRPr="009276D4" w:rsidRDefault="009276D4" w:rsidP="00F846E9">
                      <w:pPr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20"/>
                        </w:tabs>
                        <w:autoSpaceDE w:val="0"/>
                        <w:autoSpaceDN w:val="0"/>
                        <w:spacing w:after="0" w:line="292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T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5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zbatojë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rregullat 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sigurimit teknik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dhe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58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mbrojtjes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së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1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F846E9" w:rsidRPr="009276D4">
                        <w:rPr>
                          <w:rFonts w:ascii="Times New Roman" w:hAnsi="Times New Roman" w:cs="Times New Roman"/>
                          <w:spacing w:val="-2"/>
                          <w:sz w:val="22"/>
                          <w:szCs w:val="22"/>
                          <w:lang w:val="sq-AL"/>
                        </w:rPr>
                        <w:t>mjedisit.</w:t>
                      </w:r>
                    </w:p>
                    <w:p w14:paraId="22B172DE" w14:textId="77777777" w:rsidR="001658DB" w:rsidRPr="009276D4" w:rsidRDefault="001658DB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0C9081AC" w14:textId="77777777" w:rsidR="000D244C" w:rsidRPr="00A01CF9" w:rsidRDefault="000D244C" w:rsidP="000D244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2BD86DD8" w14:textId="77777777" w:rsidR="009276D4" w:rsidRPr="00A01CF9" w:rsidRDefault="00F846E9" w:rsidP="001658DB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Përfundimi me sukses i kualifikimit profesional “Teknologji kimike”, niveli II-të në KSHK, referuar niveli II të KEK, e pajis individin me certifikatën e punonjësit gjysmë të kualifikuar (ndihmës) në këtë drejtim, me të drejtë për vazhdimin e arsimimit në një nga kualifikimet e nivelit IIItë të KSHK-së, referuar niveli III të KEK, të këtij drejtimi.</w:t>
                      </w:r>
                    </w:p>
                    <w:p w14:paraId="2D65CAB9" w14:textId="77777777" w:rsidR="009276D4" w:rsidRPr="00A01CF9" w:rsidRDefault="00F846E9" w:rsidP="001658DB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Me arsimim të mëtejshëm individi fiton të drejtën e Diplomës së “Maturës Shtetërore Profesionale” me mundësi për vazhdimin e studimeve pas të mesme dhe universitare. </w:t>
                      </w:r>
                    </w:p>
                    <w:p w14:paraId="73622BCC" w14:textId="37680A74" w:rsidR="009276D4" w:rsidRPr="00A01CF9" w:rsidRDefault="00F846E9" w:rsidP="001658DB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Ky kualifikim i jep individit mundësi t'i drejtohet tregut të punës si ndihmës në ndërmarrje tё ndryshme të teknologjisë kimike për prodhimin e: </w:t>
                      </w:r>
                    </w:p>
                    <w:p w14:paraId="172C8A18" w14:textId="330B5442" w:rsidR="009276D4" w:rsidRPr="009276D4" w:rsidRDefault="00F846E9" w:rsidP="00A01CF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produkteve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kimike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acide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baza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kripëra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plehra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kimikë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), </w:t>
                      </w:r>
                    </w:p>
                    <w:p w14:paraId="64A0EBA7" w14:textId="75F04908" w:rsidR="009276D4" w:rsidRPr="009276D4" w:rsidRDefault="00F846E9" w:rsidP="00A01CF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materialeve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ndërtimit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qeramikës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ndërtimit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qeramikës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hollë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materialeve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zjarrduruese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qelqit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gëlqeres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gipsit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çimentos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Portland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dhe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llojeve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tjera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tё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çimentos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kollës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finos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stukos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tullave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silikate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të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lehtësuara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betoneve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asfalto-betoneve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bojërave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ujore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dhe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vajore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), </w:t>
                      </w:r>
                    </w:p>
                    <w:p w14:paraId="4AE2EE81" w14:textId="6C0E90C5" w:rsidR="009276D4" w:rsidRPr="009276D4" w:rsidRDefault="00F846E9" w:rsidP="00A01CF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përpunimin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e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naftës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gazit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natyror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dhe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qymyreve</w:t>
                      </w:r>
                      <w:proofErr w:type="spellEnd"/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</w:t>
                      </w:r>
                    </w:p>
                    <w:p w14:paraId="247B3FF8" w14:textId="05D4D386" w:rsidR="009276D4" w:rsidRPr="00A01CF9" w:rsidRDefault="00F846E9" w:rsidP="00A01CF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 xml:space="preserve">polimerëve (gomë, plastikë etj.), </w:t>
                      </w:r>
                    </w:p>
                    <w:p w14:paraId="0A99C192" w14:textId="50C37C31" w:rsidR="009276D4" w:rsidRPr="00A01CF9" w:rsidRDefault="00F846E9" w:rsidP="00A01CF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 xml:space="preserve">metaleve dhe aliazheve, </w:t>
                      </w:r>
                    </w:p>
                    <w:p w14:paraId="7507640C" w14:textId="76804CB3" w:rsidR="00F846E9" w:rsidRPr="00A01CF9" w:rsidRDefault="00F846E9" w:rsidP="00A01CF9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</w:pPr>
                      <w:r w:rsidRPr="00A01CF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</w:rPr>
                        <w:t>materialeve me bazë celuloze (letër, karton etj.), si dhe tregtimin e tyre etj.).</w:t>
                      </w:r>
                    </w:p>
                    <w:p w14:paraId="3431793F" w14:textId="7E0C0A54" w:rsidR="004D7C4A" w:rsidRPr="009276D4" w:rsidRDefault="004D7C4A" w:rsidP="001658DB">
                      <w:pPr>
                        <w:spacing w:before="240" w:after="20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9276D4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Shënim:</w:t>
                      </w:r>
                      <w:r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9276D4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1B26"/>
    <w:multiLevelType w:val="hybridMultilevel"/>
    <w:tmpl w:val="90E400FA"/>
    <w:lvl w:ilvl="0" w:tplc="F1F4A44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color w:val="000000"/>
        <w:spacing w:val="0"/>
        <w:w w:val="100"/>
        <w:sz w:val="24"/>
        <w:szCs w:val="24"/>
        <w:lang w:val="sq-AL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0322AD"/>
    <w:multiLevelType w:val="hybridMultilevel"/>
    <w:tmpl w:val="F27AC29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24D25"/>
    <w:multiLevelType w:val="hybridMultilevel"/>
    <w:tmpl w:val="29F64120"/>
    <w:lvl w:ilvl="0" w:tplc="8F9CDA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2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C57B9"/>
    <w:multiLevelType w:val="hybridMultilevel"/>
    <w:tmpl w:val="CFD4A4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000000"/>
        <w:spacing w:val="0"/>
        <w:w w:val="100"/>
        <w:sz w:val="24"/>
        <w:szCs w:val="24"/>
        <w:lang w:val="sq-AL" w:eastAsia="en-US" w:bidi="ar-SA"/>
      </w:rPr>
    </w:lvl>
    <w:lvl w:ilvl="1" w:tplc="FFFFFFFF">
      <w:numFmt w:val="bullet"/>
      <w:lvlText w:val="•"/>
      <w:lvlJc w:val="left"/>
      <w:pPr>
        <w:ind w:left="1662" w:hanging="360"/>
      </w:pPr>
      <w:rPr>
        <w:rFonts w:hint="default"/>
        <w:lang w:val="sq-AL" w:eastAsia="en-US" w:bidi="ar-SA"/>
      </w:rPr>
    </w:lvl>
    <w:lvl w:ilvl="2" w:tplc="FFFFFFFF">
      <w:numFmt w:val="bullet"/>
      <w:lvlText w:val="•"/>
      <w:lvlJc w:val="left"/>
      <w:pPr>
        <w:ind w:left="2605" w:hanging="360"/>
      </w:pPr>
      <w:rPr>
        <w:rFonts w:hint="default"/>
        <w:lang w:val="sq-AL" w:eastAsia="en-US" w:bidi="ar-SA"/>
      </w:rPr>
    </w:lvl>
    <w:lvl w:ilvl="3" w:tplc="FFFFFFFF">
      <w:numFmt w:val="bullet"/>
      <w:lvlText w:val="•"/>
      <w:lvlJc w:val="left"/>
      <w:pPr>
        <w:ind w:left="3548" w:hanging="360"/>
      </w:pPr>
      <w:rPr>
        <w:rFonts w:hint="default"/>
        <w:lang w:val="sq-AL" w:eastAsia="en-US" w:bidi="ar-SA"/>
      </w:rPr>
    </w:lvl>
    <w:lvl w:ilvl="4" w:tplc="FFFFFFFF">
      <w:numFmt w:val="bullet"/>
      <w:lvlText w:val="•"/>
      <w:lvlJc w:val="left"/>
      <w:pPr>
        <w:ind w:left="4491" w:hanging="360"/>
      </w:pPr>
      <w:rPr>
        <w:rFonts w:hint="default"/>
        <w:lang w:val="sq-AL" w:eastAsia="en-US" w:bidi="ar-SA"/>
      </w:rPr>
    </w:lvl>
    <w:lvl w:ilvl="5" w:tplc="FFFFFFFF">
      <w:numFmt w:val="bullet"/>
      <w:lvlText w:val="•"/>
      <w:lvlJc w:val="left"/>
      <w:pPr>
        <w:ind w:left="5434" w:hanging="360"/>
      </w:pPr>
      <w:rPr>
        <w:rFonts w:hint="default"/>
        <w:lang w:val="sq-AL" w:eastAsia="en-US" w:bidi="ar-SA"/>
      </w:rPr>
    </w:lvl>
    <w:lvl w:ilvl="6" w:tplc="FFFFFFFF">
      <w:numFmt w:val="bullet"/>
      <w:lvlText w:val="•"/>
      <w:lvlJc w:val="left"/>
      <w:pPr>
        <w:ind w:left="6377" w:hanging="360"/>
      </w:pPr>
      <w:rPr>
        <w:rFonts w:hint="default"/>
        <w:lang w:val="sq-AL" w:eastAsia="en-US" w:bidi="ar-SA"/>
      </w:rPr>
    </w:lvl>
    <w:lvl w:ilvl="7" w:tplc="FFFFFFFF">
      <w:numFmt w:val="bullet"/>
      <w:lvlText w:val="•"/>
      <w:lvlJc w:val="left"/>
      <w:pPr>
        <w:ind w:left="7320" w:hanging="360"/>
      </w:pPr>
      <w:rPr>
        <w:rFonts w:hint="default"/>
        <w:lang w:val="sq-AL" w:eastAsia="en-US" w:bidi="ar-SA"/>
      </w:rPr>
    </w:lvl>
    <w:lvl w:ilvl="8" w:tplc="FFFFFFFF">
      <w:numFmt w:val="bullet"/>
      <w:lvlText w:val="•"/>
      <w:lvlJc w:val="left"/>
      <w:pPr>
        <w:ind w:left="8263" w:hanging="360"/>
      </w:pPr>
      <w:rPr>
        <w:rFonts w:hint="default"/>
        <w:lang w:val="sq-AL" w:eastAsia="en-US" w:bidi="ar-SA"/>
      </w:rPr>
    </w:lvl>
  </w:abstractNum>
  <w:abstractNum w:abstractNumId="14" w15:restartNumberingAfterBreak="0">
    <w:nsid w:val="7F0779B6"/>
    <w:multiLevelType w:val="hybridMultilevel"/>
    <w:tmpl w:val="EA8CB696"/>
    <w:lvl w:ilvl="0" w:tplc="F1F4A44E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color w:val="000000"/>
        <w:spacing w:val="0"/>
        <w:w w:val="100"/>
        <w:sz w:val="24"/>
        <w:szCs w:val="24"/>
        <w:lang w:val="sq-AL" w:eastAsia="en-US" w:bidi="ar-SA"/>
      </w:rPr>
    </w:lvl>
    <w:lvl w:ilvl="1" w:tplc="84E6FA7A">
      <w:numFmt w:val="bullet"/>
      <w:lvlText w:val="•"/>
      <w:lvlJc w:val="left"/>
      <w:pPr>
        <w:ind w:left="1662" w:hanging="360"/>
      </w:pPr>
      <w:rPr>
        <w:rFonts w:hint="default"/>
        <w:lang w:val="sq-AL" w:eastAsia="en-US" w:bidi="ar-SA"/>
      </w:rPr>
    </w:lvl>
    <w:lvl w:ilvl="2" w:tplc="DDC80514">
      <w:numFmt w:val="bullet"/>
      <w:lvlText w:val="•"/>
      <w:lvlJc w:val="left"/>
      <w:pPr>
        <w:ind w:left="2605" w:hanging="360"/>
      </w:pPr>
      <w:rPr>
        <w:rFonts w:hint="default"/>
        <w:lang w:val="sq-AL" w:eastAsia="en-US" w:bidi="ar-SA"/>
      </w:rPr>
    </w:lvl>
    <w:lvl w:ilvl="3" w:tplc="11D6B432">
      <w:numFmt w:val="bullet"/>
      <w:lvlText w:val="•"/>
      <w:lvlJc w:val="left"/>
      <w:pPr>
        <w:ind w:left="3548" w:hanging="360"/>
      </w:pPr>
      <w:rPr>
        <w:rFonts w:hint="default"/>
        <w:lang w:val="sq-AL" w:eastAsia="en-US" w:bidi="ar-SA"/>
      </w:rPr>
    </w:lvl>
    <w:lvl w:ilvl="4" w:tplc="5F583FF6">
      <w:numFmt w:val="bullet"/>
      <w:lvlText w:val="•"/>
      <w:lvlJc w:val="left"/>
      <w:pPr>
        <w:ind w:left="4491" w:hanging="360"/>
      </w:pPr>
      <w:rPr>
        <w:rFonts w:hint="default"/>
        <w:lang w:val="sq-AL" w:eastAsia="en-US" w:bidi="ar-SA"/>
      </w:rPr>
    </w:lvl>
    <w:lvl w:ilvl="5" w:tplc="486CC6D0">
      <w:numFmt w:val="bullet"/>
      <w:lvlText w:val="•"/>
      <w:lvlJc w:val="left"/>
      <w:pPr>
        <w:ind w:left="5434" w:hanging="360"/>
      </w:pPr>
      <w:rPr>
        <w:rFonts w:hint="default"/>
        <w:lang w:val="sq-AL" w:eastAsia="en-US" w:bidi="ar-SA"/>
      </w:rPr>
    </w:lvl>
    <w:lvl w:ilvl="6" w:tplc="D6368D40">
      <w:numFmt w:val="bullet"/>
      <w:lvlText w:val="•"/>
      <w:lvlJc w:val="left"/>
      <w:pPr>
        <w:ind w:left="6377" w:hanging="360"/>
      </w:pPr>
      <w:rPr>
        <w:rFonts w:hint="default"/>
        <w:lang w:val="sq-AL" w:eastAsia="en-US" w:bidi="ar-SA"/>
      </w:rPr>
    </w:lvl>
    <w:lvl w:ilvl="7" w:tplc="78166AD0">
      <w:numFmt w:val="bullet"/>
      <w:lvlText w:val="•"/>
      <w:lvlJc w:val="left"/>
      <w:pPr>
        <w:ind w:left="7320" w:hanging="360"/>
      </w:pPr>
      <w:rPr>
        <w:rFonts w:hint="default"/>
        <w:lang w:val="sq-AL" w:eastAsia="en-US" w:bidi="ar-SA"/>
      </w:rPr>
    </w:lvl>
    <w:lvl w:ilvl="8" w:tplc="441C4920">
      <w:numFmt w:val="bullet"/>
      <w:lvlText w:val="•"/>
      <w:lvlJc w:val="left"/>
      <w:pPr>
        <w:ind w:left="8263" w:hanging="360"/>
      </w:pPr>
      <w:rPr>
        <w:rFonts w:hint="default"/>
        <w:lang w:val="sq-AL" w:eastAsia="en-US" w:bidi="ar-SA"/>
      </w:rPr>
    </w:lvl>
  </w:abstractNum>
  <w:num w:numId="1" w16cid:durableId="1837720306">
    <w:abstractNumId w:val="1"/>
  </w:num>
  <w:num w:numId="2" w16cid:durableId="1694108277">
    <w:abstractNumId w:val="4"/>
  </w:num>
  <w:num w:numId="3" w16cid:durableId="1917738704">
    <w:abstractNumId w:val="7"/>
  </w:num>
  <w:num w:numId="4" w16cid:durableId="1873954048">
    <w:abstractNumId w:val="10"/>
  </w:num>
  <w:num w:numId="5" w16cid:durableId="1463033182">
    <w:abstractNumId w:val="9"/>
  </w:num>
  <w:num w:numId="6" w16cid:durableId="2071077164">
    <w:abstractNumId w:val="12"/>
  </w:num>
  <w:num w:numId="7" w16cid:durableId="803620848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027171930">
    <w:abstractNumId w:val="11"/>
  </w:num>
  <w:num w:numId="9" w16cid:durableId="930891693">
    <w:abstractNumId w:val="5"/>
  </w:num>
  <w:num w:numId="10" w16cid:durableId="196281639">
    <w:abstractNumId w:val="3"/>
  </w:num>
  <w:num w:numId="11" w16cid:durableId="182786290">
    <w:abstractNumId w:val="6"/>
  </w:num>
  <w:num w:numId="12" w16cid:durableId="2017733170">
    <w:abstractNumId w:val="14"/>
  </w:num>
  <w:num w:numId="13" w16cid:durableId="354966509">
    <w:abstractNumId w:val="13"/>
  </w:num>
  <w:num w:numId="14" w16cid:durableId="189222229">
    <w:abstractNumId w:val="2"/>
  </w:num>
  <w:num w:numId="15" w16cid:durableId="1280336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313C7"/>
    <w:rsid w:val="000615CB"/>
    <w:rsid w:val="00066075"/>
    <w:rsid w:val="000D244C"/>
    <w:rsid w:val="001658DB"/>
    <w:rsid w:val="002914F5"/>
    <w:rsid w:val="002A7A89"/>
    <w:rsid w:val="003B618D"/>
    <w:rsid w:val="004A1113"/>
    <w:rsid w:val="004D7C4A"/>
    <w:rsid w:val="006114E9"/>
    <w:rsid w:val="00730DA6"/>
    <w:rsid w:val="007E39B9"/>
    <w:rsid w:val="00820A5D"/>
    <w:rsid w:val="009276D4"/>
    <w:rsid w:val="00A00219"/>
    <w:rsid w:val="00A01CF9"/>
    <w:rsid w:val="00A252C3"/>
    <w:rsid w:val="00BC4559"/>
    <w:rsid w:val="00C827CD"/>
    <w:rsid w:val="00CB4C93"/>
    <w:rsid w:val="00D035D2"/>
    <w:rsid w:val="00D25E19"/>
    <w:rsid w:val="00D74BFA"/>
    <w:rsid w:val="00DD219B"/>
    <w:rsid w:val="00DF068B"/>
    <w:rsid w:val="00E32AA2"/>
    <w:rsid w:val="00E576EF"/>
    <w:rsid w:val="00ED5D0B"/>
    <w:rsid w:val="00EE69CB"/>
    <w:rsid w:val="00F8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3ACE"/>
  <w15:docId w15:val="{F5CDD25D-B1A5-4B93-ABB3-16DA14A0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  <w:style w:type="paragraph" w:styleId="NoSpacing">
    <w:name w:val="No Spacing"/>
    <w:uiPriority w:val="1"/>
    <w:qFormat/>
    <w:rsid w:val="009276D4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11C0F-5D50-45F1-BEF1-00D3D1C71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2026-06-24T06:56:00Z</dcterms:created>
  <dcterms:modified xsi:type="dcterms:W3CDTF">2026-06-24T06:56:00Z</dcterms:modified>
</cp:coreProperties>
</file>